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BB.2022.54 vom 21. Juni 2022</w:t>
      </w:r>
    </w:p>
    <w:p>
      <w:r>
        <w:t>Bundesstrafgericht, 2022-06-21, FR</w:t>
      </w:r>
    </w:p>
    <w:p>
      <w:r>
        <w:rPr>
          <w:b/>
        </w:rPr>
        <w:t xml:space="preserve">Quelle: </w:t>
      </w:r>
      <w:r>
        <w:t>https://mcp.opencaselaw.ch/entscheid/bstger_BB.2022.54</w:t>
      </w:r>
    </w:p>
    <w:p>
      <w:r>
        <w:t>FR: TPF BB.2022.54 du 21 juin 2022</w:t>
      </w:r>
    </w:p>
    <w:p>
      <w:r>
        <w:t>IT: TPF BB.2022.54 del 21 giugno 2022</w:t>
      </w:r>
    </w:p>
    <w:p>
      <w:pPr>
        <w:pStyle w:val="Heading2"/>
      </w:pPr>
      <w:r>
        <w:t>Regeste</w:t>
      </w:r>
    </w:p>
    <w:p>
      <w:r>
        <w:t>Récusation du Ministère public de la Confédération (art. 59 al. 1 let. b en lien avec l'art. 56 CPP)</w:t>
      </w:r>
    </w:p>
    <w:p>
      <w:pPr>
        <w:pStyle w:val="Heading2"/>
      </w:pPr>
      <w:r>
        <w:t>Erwägungen</w:t>
      </w:r>
    </w:p>
    <w:p>
      <w:r>
        <w:rPr>
          <w:b/>
        </w:rPr>
        <w:t>E. 1.1</w:t>
      </w:r>
    </w:p>
    <w:p>
      <w:r>
        <w:t>Dès lors que la demande de récusation est dirigée contre des personnes au sein du MPC, la Cour des plaintes du Tribunal pénal fédéral est compétente pour trancher cette question, sans administration supplémentaire de preuve et définitivement (art. 59 al. 1 let. b CPP et art. 37 al. 1 de la loi fédérale du</w:t>
      </w:r>
    </w:p>
    <w:p>
      <w:r>
        <w:t>- 4 -</w:t>
      </w:r>
    </w:p>
    <w:p>
      <w:r>
        <w:t>19 mars 2010 sur l’organisation des autorités pénales de la Confédération [LOAP; RS 173.71]). En vertu de l’art. 58 CPP, lorsqu’une partie entend demander une telle récusation, elle doit la présenter à la direction de la procédure, laquelle prendra position et transmettra l’ensemble à la Cour de céans.</w:t>
      </w:r>
    </w:p>
    <w:p>
      <w:r>
        <w:rPr>
          <w:b/>
        </w:rPr>
        <w:t>E. 1.2</w:t>
      </w:r>
    </w:p>
    <w:p>
      <w:r>
        <w:t>Seules les parties à une procédure ont qualité pour agir en récusation d’un membre de l’autorité pénale (art. 58 al. 1 et 104 CPP). Le requérant est prévenu dans la procédure SV.17.1802 (v. let. A), de sorte que sa qualité pour agir est admise dans ce cadre-là.</w:t>
      </w:r>
    </w:p>
    <w:p>
      <w:r>
        <w:rPr>
          <w:b/>
        </w:rPr>
        <w:t>E. 1.3.1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doivent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140 I 271 consid. 8.4.3; 138 I 1 consid. 2.2; 119 Ia 221 consid. 5a). Dès lors, même si la loi ne prévoit aucun délai particulier, il y a lieu d’admettre que la récusation doit être formée aussitôt, c’est-à-dire dans les jours qui suivent la connaissance de la cause de récusation.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1B_305/2019 du 26 novembre 2019 consid. 3.2.1 et les arrêts cités).</w:t>
      </w:r>
    </w:p>
    <w:p>
      <w:r>
        <w:rPr>
          <w:b/>
        </w:rPr>
        <w:t>E. 1.3.2</w:t>
      </w:r>
    </w:p>
    <w:p>
      <w:r>
        <w:t>En l’espèce, le requérant fonde sa demande de récusation sur le courrier du 12 avril 2022 du MPC. Sa demande a été déposée le 19 avril 2022, soit dans un délai de 6 jours, à partir de la réception du courrier. La Procureure fédérale soulève néanmoins que l’intéressé a déjà eu connaissance des motifs allégués de récusation oralement le 15 juin 2021, puis le 28 mars 2022. En ce sens, elle conclut à ce que la demande de A. soit irrecevable en raison de sa tardivité (v. act. 2 p. 6). Cette question du respect du délai peut être laissée ouverte vu l’issue du litige.</w:t>
      </w:r>
    </w:p>
    <w:p>
      <w:r>
        <w:rPr>
          <w:b/>
        </w:rPr>
        <w:t>E. 1.4.1</w:t>
      </w:r>
    </w:p>
    <w:p>
      <w:r>
        <w:t>En principe, une requête tendant à la récusation « en bloc » des membres d’une autorité appelée à statuer est irrecevable, à moins que des motifs de</w:t>
      </w:r>
    </w:p>
    <w:p>
      <w:r>
        <w:t>- 5 -</w:t>
      </w:r>
    </w:p>
    <w:p>
      <w:r>
        <w:t>récusation concrets et individuels soient exposés dans la requête à l’encontre de chacun des membres de ladite autorité (arrêts du Tribunal fédéral 5A_249/2015 du 29 septembre 2015 consid. 5.1; 1B_405/2014 du 12 mai 2015 consid. 6.2 et arrêts cités; SCHMID/JOSITSCH, Praxiskommentar, 3e éd. 2018, n. 7 ad art. 59 CPP; KELLER, Zürcher Kommentar, 3e éd. 2020, n. 10 ad art. 58 CPP; BOOG, Basler Kommentar, 2e éd. 2014, n. 2 ad art. 58 CPP).</w:t>
      </w:r>
    </w:p>
    <w:p>
      <w:r>
        <w:rPr>
          <w:b/>
        </w:rPr>
        <w:t>E. 1.4.2</w:t>
      </w:r>
    </w:p>
    <w:p>
      <w:r>
        <w:t>Dans le cas d’espèce, la demande de récusation est dirigée contre la Procureure fédérale B.; elle est sur ce point recevable.</w:t>
      </w:r>
    </w:p>
    <w:p>
      <w:r>
        <w:t>La récusation vise également « l’équipe d’enquête nationale du MPC » (act. 1 p. 1). Ne connaissant pas les membres de cette équipe, le requérant conclut dans sa réplique à ce que leurs identités et fonctions lui soient remises. Sur le fond, il justifie leur récusation sur le fait que la Procureure fédérale B. s’est référée à la position de « l’équipe d’enquête nationale du MPC », qu’elle dirige, lorsqu’elle aurait tenu des propos contraires à l’impartialité. Ces motifs tendant à la récusation des membres de l’équipe nationale d’enquête ne sont ni concrets ni individuels. Partant, la demande de récusation concernant ces membres est irrecevable. Dans ce cadre, il n’y a pas lieu de transmettre au requérant l’identité de ces membres (v. let. I).</w:t>
      </w:r>
    </w:p>
    <w:p>
      <w:r>
        <w:rPr>
          <w:b/>
        </w:rPr>
        <w:t>E. 1.5</w:t>
      </w:r>
    </w:p>
    <w:p>
      <w:r>
        <w:t>Au vu de ce qui précède, il y a lieu d’entrer en matière sur la demande de récusation contre la Procureure fédérale B., sous réserve du respect du délai.</w:t>
      </w:r>
    </w:p>
    <w:p>
      <w:r>
        <w:rPr>
          <w:b/>
        </w:rPr>
        <w:t>E. 2</w:t>
      </w:r>
    </w:p>
    <w:p>
      <w:r>
        <w:t>Le requérant demande la récusation de la Procureure fédérale B. pour le motif prévu à l’art. 56 let. f CPP. En substance, il lui reproche d’avoir posé des conditions sur la teneur de l’accord entre A. et les autorités malaisiennes, ce qui démontrerait sa prévention dans la procédure pénale nationale.</w:t>
      </w:r>
    </w:p>
    <w:p>
      <w:r>
        <w:rPr>
          <w:b/>
        </w:rPr>
        <w:t>E. 2.1</w:t>
      </w:r>
    </w:p>
    <w:p>
      <w:r>
        <w:t>La garantie d’un tribunal indépendant et impartial instituée par les art. 30 al. 1 Cst. et art. 6 par. 1 CEDH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141 IV 178 consid. 3.2.2; 127 I 196 consid. 2b; 125 I 119 consid. 3b et les arrêts cités).</w:t>
      </w:r>
    </w:p>
    <w:p>
      <w:r>
        <w:rPr>
          <w:b/>
        </w:rPr>
        <w:t>E. 2.2</w:t>
      </w:r>
    </w:p>
    <w:p>
      <w:r>
        <w:t>L’art. 56 CPP concrétise ces garanties en énumérant divers motifs de récusation aux lettres a à e. La let. f impose la récusation de toute personne</w:t>
      </w:r>
    </w:p>
    <w:p>
      <w:r>
        <w:t>- 6 -</w:t>
      </w:r>
    </w:p>
    <w:p>
      <w:r>
        <w:t>exerçant une fonction au sein d’une autorité pénale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arrêt du Tribunal fédéral 1B_430/2021 du 22 octobre 2021 consid. 2.1 et les arrêts cités).</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V 69 consid. 3.2; 141 IV 178 consid. 3.2.1; 138 IV 142 consid. 2.3; 116 Ia 14 consid. 5a p. 19; 116 Ia 135 consid. 3a p. 138; 114 Ia 153 consid. 3b/bb p. 158; 113 Ia 407 consid. 2b p. 409/410; 111 Ia 259 consid. 3b/aa in fine p. 264).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(arrêt du Tribunal fédéral 1B_409/2016 du 3 janvier 2017 consid. 3.2, non publié in ATF 143 IV 69).</w:t>
      </w:r>
    </w:p>
    <w:p>
      <w:r>
        <w:rPr>
          <w:b/>
        </w:rPr>
        <w:t>E. 2.4</w:t>
      </w:r>
    </w:p>
    <w:p>
      <w:r>
        <w:t>En l’espèce, dans le cadre de la procédure d’entraide avec la Malaisie, les autorités de cet État souhaitent un rapatriement volontaire des fonds détenus par A. en exécution d’un accord transactionnel (« settlement agreement »). C’est dans ce cadre qu’a eu lieu une visioconférence le 14 juin 2021, puis une rencontre le 8 avril 2022, toutes deux menées par le Procureur fédéral E. en charge de la procédure d’entraide. Il ressort du dossier que les avoirs</w:t>
      </w:r>
    </w:p>
    <w:p>
      <w:r>
        <w:t>- 7 -</w:t>
      </w:r>
    </w:p>
    <w:p>
      <w:r>
        <w:t>visés sont également séquestrés dans la procédure nationale suisse. Ainsi, la levée du séquestre doit être ordonnée par la direction de la procédure pénale suisse, ici le MPC, afin de permettre le transfert volontaire et l’exécution du settlement agreement. C’est dans ce cadre que la Procureure fédérale B. a également participé aux séances précitées. Á teneur du procès- verbal de la séance du 15 juin 2021, la Procureure fédérale B. a précisé que « la levée des séquestres pénaux nécessaire à l’exécution des instructions de transfert en procédure d’entraide, n’apparaît pas envisageable si cela porte atteinte à la procédure pénale suisse ». Elle a soulevé que « en particulier, la levée des séquestres pénaux apparaîtrait problématique si par la suite la Malaisie devait refuser d’octroyer l’entraide à la Suisse, respectivement interdire l’utilisation des moyens de preuve contre les prévenus ». Enfin, la Procureure fédérale a indiqué dans une lettre du 12 avril 2022 que « l’accord conclu entre A. et les autorités malaisiennes ne doit pas entraver la procédure pénale menée par le MPC, à savoir, en particulier, l’accord ne devrait pas contenir une reconnaissance de culpabilité ou d’innocence de votre client [A.] s’agissant des faits sous enquête ».</w:t>
      </w:r>
    </w:p>
    <w:p>
      <w:r>
        <w:rPr>
          <w:b/>
        </w:rPr>
        <w:t>E. 2.5</w:t>
      </w:r>
    </w:p>
    <w:p>
      <w:r>
        <w:t>Selon le requérant, l’intervention de la Procureure fédérale B. dans la procédure d’entraide ne connaîtrait aucune base légale et ne relèverait pas de sa compétence. Elle n’aurait aucun pouvoir de dicter les conditions d’un accord entre la Malaisie et l’intéressé. Le requérant fait grief d’être – lui- même ainsi que la Malaisie – soumis à une contrainte afin que leur accord transactionnel ne se prononce pas sur sa culpabilité ou innocence. Cela prouverait la volonté de la Procureure fédérale de garantir sa condamnation en Suisse, en excluant tout élément qui pourrait d’une manière ou d’une autre être à décharge. Ceci ressort également des termes employés: « entraver la procédure pénale ». Par ces termes, l’intimée affirmerait également sans ambiguïté que l’inclusion d’une clause sur la culpabilité ou l’innocence constituerait une entrave à l’action pénale réprimée par l’art. 305 CP.</w:t>
      </w:r>
    </w:p>
    <w:p>
      <w:r>
        <w:rPr>
          <w:b/>
        </w:rPr>
        <w:t>E. 2.6</w:t>
      </w:r>
    </w:p>
    <w:p>
      <w:r>
        <w:t>Tout d’abord, A. soutient que la Suisse ne peut pas s’ingérer dans un accord entre un État étranger et un tiers. Toutefois, il n’explique pas les raisons pour lesquelles la Malaisie pourrait valablement statuer ou émettre une opinion sur sa culpabilité ou son innocence dans le cadre de la procédure instruite en Suisse. Par ailleurs, même en admettant que le comportement de l’intimée dans la procédure d’entraide constituait un acte de procédure erroné, il n’apparaitrait pas qu’une telle erreur serait particulièrement lourde ou répétée, ce qui permettrait de démontrer une apparence de prévention. De plus, l’on ne saurait inférer un quelconque indice de partialité du fait de la présence de la Procureure fédérale aux séances organisées dans le cadre de la procédure d’entraide. Il sied de rappeler qu’un séquestre pénal fait</w:t>
      </w:r>
    </w:p>
    <w:p>
      <w:r>
        <w:t>- 8 -</w:t>
      </w:r>
    </w:p>
    <w:p>
      <w:r>
        <w:t>obstacle à la remise de valeurs patrimoniales demandée par une autorité étrangère (v. art. 74a al. 4 let. d de la loi fédérale sur l'entraide internationale en matière pénale [EIMP, RS 351.1]; v. également BOTTINELLI, in: Droit suisse des sanctions et de la confiscation internationale, 2020, n. 377). Enfin, dans une lettre du 5 avril 2022, A. représenté par ses mandataires a expliqué qu’il est standard d’inclure une clause rappelant que l’accord et son contenu n’emportent aucune admission de responsabilité et/ou de culpabilité de part et d’autre (clause de « no admission of liability »). Au regard de ce type de clause évoqué spontanément par le requérant, la Cour peine à suivre son argumentation selon laquelle les propos de la Procureur fédérale constitueraient un motif de récusation.</w:t>
      </w:r>
    </w:p>
    <w:p>
      <w:r>
        <w:rPr>
          <w:b/>
        </w:rPr>
        <w:t>E. 2.7</w:t>
      </w:r>
    </w:p>
    <w:p>
      <w:r>
        <w:t>Au vu de ce qui précède, le comportement de la Procureure fédérale B. ne prête pas flanc à la critique. Les griefs du requérant sont infondés.</w:t>
      </w:r>
    </w:p>
    <w:p>
      <w:r>
        <w:rPr>
          <w:b/>
        </w:rPr>
        <w:t>E. 3</w:t>
      </w:r>
    </w:p>
    <w:p>
      <w:r>
        <w:t>Il s’ensuit que la demande de récusation doit être rejetée.</w:t>
      </w:r>
    </w:p>
    <w:p>
      <w:r>
        <w:rPr>
          <w:b/>
        </w:rPr>
        <w:t>E. 4</w:t>
      </w:r>
    </w:p>
    <w:p>
      <w:r>
        <w:t>Vu le sort de la cause, il incombe au requérant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