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BB.2022.22 vom 16. März 2022</w:t>
      </w:r>
    </w:p>
    <w:p>
      <w:r>
        <w:t>Bundesstrafgericht, 2022-03-16, DE</w:t>
      </w:r>
    </w:p>
    <w:p>
      <w:r>
        <w:rPr>
          <w:b/>
        </w:rPr>
        <w:t xml:space="preserve">Quelle: </w:t>
      </w:r>
      <w:r>
        <w:t>https://mcp.opencaselaw.ch/entscheid/bstger_BB.2022.22</w:t>
      </w:r>
    </w:p>
    <w:p>
      <w:r>
        <w:t>FR: TPF BB.2022.22 du 16 mars 2022</w:t>
      </w:r>
    </w:p>
    <w:p>
      <w:r>
        <w:t>IT: TPF BB.2022.22 del 16 marzo 2022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16. März 2022 Beschwerdekammer Besetzung</w:t>
      </w:r>
    </w:p>
    <w:p>
      <w:r>
        <w:t>Bundesstrafrichter Roy Garré, Vorsitz, Daniel Kipfer Fasciati und Patrick Robert-Nicoud,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BB.2022.22</w:t>
      </w:r>
    </w:p>
    <w:p>
      <w:r>
        <w:t>- 2 -</w:t>
      </w:r>
    </w:p>
    <w:p>
      <w:r>
        <w:t>Die Beschwerdekammer hält fest, dass:</w:t>
      </w:r>
    </w:p>
    <w:p>
      <w:r>
        <w:t>- A. mit Strafanzeige vom 7. September 2021 an die Bundesanwaltschaft ge- langte und darum ersuchte, es sei gegen die Staatsanwaltschaft des Kan- tons Luzern, das Bezirksgericht Luzern, das Kantonsgericht Luzern, das Be- treibungsamt der Stadt Luzern das Bundesgericht und das «LUKS» zu er- mitteln unter anderem wegen «Betrügereien», «Vetternwirtschaft» und «ille- galer Eintreibung von Geldern»;</w:t>
      </w:r>
    </w:p>
    <w:p>
      <w:r>
        <w:t>- A. zudem ausführt, das Bundesgericht habe seine Akten unterschlagen und es habe sich «auf die Seite Massiver Willkür» gestellt (Verfahrensakten, nicht paginiert);</w:t>
      </w:r>
    </w:p>
    <w:p>
      <w:r>
        <w:t>- die Bundesanwaltschaft mit Verfügung vom 3. März 2022 die Strafanzeige nicht anhand genommen hat (act. 1.1);</w:t>
      </w:r>
    </w:p>
    <w:p>
      <w:r>
        <w:t>- dagegen A. mit Beschwerde vom 7. März 2022 an die Beschwerdekammer des Bundesstrafgerichts gelangt ist und sinngemäss die Aufhebung der Nichthandnahmeverfügung beantragt hat (act. 1);</w:t>
      </w:r>
    </w:p>
    <w:p>
      <w:r>
        <w:t>- auf die Durchführung eines Schriftenwechsels im vorliegenden Verfahren verzichtet wird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 der Staatsanwaltschaft ergeben kann;</w:t>
      </w:r>
    </w:p>
    <w:p>
      <w:r>
        <w:t>- die Zuständigkeit der Bundesanwaltschaft vorliegend lediglich in Bezug auf die Vorwürfe gegen die Mitglieder des Bundesgerichts gegeben wäre (Art. 23 Abs. 1 lit. j StPO);</w:t>
      </w:r>
    </w:p>
    <w:p>
      <w:r>
        <w:t>- die Bundesanwaltschaft in ihrer Nichtanhandnahmeverfügung festhielt, dass der Hintergrund der Anzeige das Urteil des Bundesgerichts 5A_661/2021 vom 26. August 2021 der II. zivilrechtlichen Abteilung sei, mit welchem das</w:t>
      </w:r>
    </w:p>
    <w:p>
      <w:r>
        <w:t>- 3 -</w:t>
      </w:r>
    </w:p>
    <w:p>
      <w:r>
        <w:t>Bundesgericht auf eine Beschwerde des Beschwerdeführers gegen einen Entscheid des Kantonsgerichts Luzern als obere Aufsichtsbehörde über Schuldbetreibung und Konkurs vom 10. August 2021 nicht eingetreten sei; insofern sich die Anzeige gegen Behördenmitglieder des Kantons Luzern richte, sich gemäss den eingereichten Unterlagen die zuständigen Strafver- folgungsbehörden bereits mit der Sache befasst hätten, weshalb auf eine Weiterleitung an die kantonalen Strafbehörden gestützt auf Art. 302 Abs. 1 StPO verzichtet werde; soweit Bundeszuständigkeit vorliege, die Eröffnung eines Strafverfahrens mangels hinreichenden Tatverdachts eindeutig nicht erfüllt sei;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 der Staatsanwaltschaft ergeben kann;</w:t>
      </w:r>
    </w:p>
    <w:p>
      <w:r>
        <w:t>- soweit Bundeszuständigkeit vorliegt, der Beschwerdeführer mit keinem Wort darlegt, inwiefern die Beschwerdegegnerin zu Unrecht die Nichtanhand- nahme der Strafsache verfügt haben soll;</w:t>
      </w:r>
    </w:p>
    <w:p>
      <w:r>
        <w:t>- der Strafanzeige des Beschwerdeführers auch kein konkreter Sachverhalt entnommen werden kann, der in irgendeiner Art und Weise einen hinreichen- den Tatverdacht gegen den im bundesgerichtlichen Verfahren 5A_661/2021 amtenden Bundesrichter und gegen den im selbigen Verfahren tätigen Ge- richtsschreiber begründen könnte;</w:t>
      </w:r>
    </w:p>
    <w:p>
      <w:r>
        <w:t>- die Beschwerdegegnerin zu Recht keine Strafuntersuchung eröffnet hat;</w:t>
      </w:r>
    </w:p>
    <w:p>
      <w:r>
        <w:t>- vor diesem Hintergrund offenbleiben kann, ob der Beschwerdeführer über- haupt ein rechtlich gestütztes Interesse an der Aufhebung oder Änderung des angefochtenen Entscheides hat und damit zur Beschwerdeerhebung le- gitimiert ist;</w:t>
      </w:r>
    </w:p>
    <w:p>
      <w:r>
        <w:t>- unter diesen Umständen schliesslich auch davon abgesehen werden kann, die im Übrigen nicht unterzeichnete Beschwerde dem Beschwerdeführer zur eigenhändigen Unterzeichnung zurückzusenden (Art. 110 Abs. 1 und 3 StPO);</w:t>
      </w:r>
    </w:p>
    <w:p>
      <w:r>
        <w:t>- bei diesem Ausgang des Verfahrens die Gerichtkosten dem Beschwerdefüh- rer aufzuerlegen sind (Art. 428 Abs. 1 StPO) und die Gerichtsgebühr auf Fr. 200.-- festzusetzen ist (vgl. Art. 73 StBOG und Art. 5 und 8 Abs. 1 BStKR).</w:t>
      </w:r>
    </w:p>
    <w:p>
      <w:r>
        <w:t>- 4 -</w:t>
      </w:r>
    </w:p>
    <w:p>
      <w:r>
        <w:t>Demnach erkennt die Beschwerdekammer:</w:t>
      </w:r>
    </w:p>
    <w:p>
      <w:r>
        <w:t>1. Die Beschwerde wird abgewiesen, soweit darauf einzutreten ist.</w:t>
      </w:r>
    </w:p>
    <w:p>
      <w:r>
        <w:t>2. Die Gerichtsgebühr von Fr. 200.-- wird dem Beschwerdeführer auferlegt.</w:t>
      </w:r>
    </w:p>
    <w:p>
      <w:r>
        <w:t>Bellinzona, 16. März 2022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