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BB.2022.147 vom 15. Februar 2023</w:t>
      </w:r>
    </w:p>
    <w:p>
      <w:r>
        <w:t>Bundesstrafgericht, 2023-02-15, DE</w:t>
      </w:r>
    </w:p>
    <w:p>
      <w:r>
        <w:rPr>
          <w:b/>
        </w:rPr>
        <w:t xml:space="preserve">Quelle: </w:t>
      </w:r>
      <w:r>
        <w:t>https://mcp.opencaselaw.ch/entscheid/bstger_BB.2022.147</w:t>
      </w:r>
    </w:p>
    <w:p>
      <w:r>
        <w:t>FR: TPF BB.2022.147 du 15 février 2023</w:t>
      </w:r>
    </w:p>
    <w:p>
      <w:r>
        <w:t>IT: TPF BB.2022.147 del 15 febbraio 2023</w:t>
      </w:r>
    </w:p>
    <w:p>
      <w:pPr>
        <w:pStyle w:val="Heading2"/>
      </w:pPr>
      <w:r>
        <w:t>Regeste</w:t>
      </w:r>
    </w:p>
    <w:p>
      <w:r>
        <w:t>Verfahrenshandlung der Bundesanwaltschaft (Art. 20 Abs. 1 lit. b i.V.m. Art. 393 Abs. 1 lit. a StPO); aufschiebende Wirkung (Art. 387 StPO)</w:t>
      </w:r>
    </w:p>
    <w:p>
      <w:pPr>
        <w:pStyle w:val="Heading2"/>
      </w:pPr>
      <w:r>
        <w:t>Erwägungen</w:t>
      </w:r>
    </w:p>
    <w:p>
      <w:r>
        <w:rPr>
          <w:b/>
        </w:rPr>
        <w:t>E. 1.1</w:t>
      </w:r>
    </w:p>
    <w:p>
      <w:r>
        <w:t>Gegen Verfügung und Verfahrenshandlungen der Bundesanwaltschaft kann innert 10 Tagen bei der Beschwerdekammer des Bundesstrafgerichts Be- schwerde erhoben werden (Art. 393 Abs. 1 lit. a StPO i.V.m. Art. 37 Abs. 1 StBOG). Gemäss Art. 393 Abs. 2 StPO können mit der Beschwerde Rechts- verletzungen, einschliesslich Überschreitung und Missbrauch des Ermes- sens, Rechtsverweigerung und Rechtsverzögerung (lit. a), die unvollstän- dige oder unrichtige Feststellung des Sachverhalts (lit. b) sowie die Unange- messenheit (lit. c) gerügt werden. Zur Beschwerde legitimiert sind die Par- teien, sofern sie ein rechtlich geschütztes Interesse an der Aufhebung oder Änderung des angefochtenen Entscheids haben (Art. 382 Abs. 1 StPO).</w:t>
      </w:r>
    </w:p>
    <w:p>
      <w:r>
        <w:rPr>
          <w:b/>
        </w:rPr>
        <w:t>E. 1.2</w:t>
      </w:r>
    </w:p>
    <w:p>
      <w:r>
        <w:t>Vorliegend ist eine Verfügung der Bundesanwaltschaft vom 2. Dezember 2022 angefochten. Die Beschwerdekammer ist für die Behandlung der da- gegen gerichteten Beschwerde zuständig.</w:t>
      </w:r>
    </w:p>
    <w:p>
      <w:r>
        <w:rPr>
          <w:b/>
        </w:rPr>
        <w:t>E. 1.3</w:t>
      </w:r>
    </w:p>
    <w:p>
      <w:r>
        <w:t>Der Geschädigte hat ein rechtlich geschütztes Interesse, soweit es gemäss Art. 73 StGB um die Verwendung von eingezogenen Vermögenswerten zu seinen Gunsten geht (BGE 136 IV 29 E. 1.9). Der Beschwerdeführer ist zur Beschwerde legitimiert.</w:t>
      </w:r>
    </w:p>
    <w:p>
      <w:r>
        <w:rPr>
          <w:b/>
        </w:rPr>
        <w:t>E. 1.4</w:t>
      </w:r>
    </w:p>
    <w:p>
      <w:r>
        <w:t>Auf die im Übrigen form- und fristgerecht erhobene Beschwerde ist einzutre- ten.</w:t>
      </w:r>
    </w:p>
    <w:p>
      <w:r>
        <w:t>- 5 -</w:t>
      </w:r>
    </w:p>
    <w:p>
      <w:r>
        <w:rPr>
          <w:b/>
        </w:rPr>
        <w:t>E. 2.1</w:t>
      </w:r>
    </w:p>
    <w:p>
      <w:r>
        <w:t>Die Beschwerde gemäss Art. 393 ff. StPO ist ein devolutives Rechtsmittel (vgl. statt vieler KELLER, Zürcher Kommentar, 3. Aufl. 2020, Art. 393 StPO N. 1). Der Devolutiveffekt der Beschwerde bewirkt, dass mit Rechtshängig- keit der Beschwerde die Vorinstanz grundsätzlich die Befugnis verliert, sich mit der Sache zu befassen, bzw. dass die Beschwerdeinstanz im Rahmen ihrer Kognition die Herrschaft über den Beschwerdegegenstand erlangt. Die- ser Mechanismus kann durchbrochen werden, sofern das Gesetz der Vorinstanz die Möglichkeit gewährt, einen angefochtenen Entscheid während eines Beschwerdeverfahrens bzw. innerhalb eines bestimmten Verfahrensstand in Wiedererwägung zu ziehen (so z.B. Art. 58 Abs. 1 des Bundesgesetzes über das Verwaltungsverfahren [VwVG; SR 172.021]). Die StPO kennt diese Möglichkeit nicht.</w:t>
      </w:r>
    </w:p>
    <w:p>
      <w:r>
        <w:rPr>
          <w:b/>
        </w:rPr>
        <w:t>E. 2.2</w:t>
      </w:r>
    </w:p>
    <w:p>
      <w:r>
        <w:t>Die Verfügung der Beschwerdegegnerin vom 4. Mai 2022 wurde bei der Beschwerdekammer angefochten (s. oben Buchstabe D.), das Beschwerde- verfahren BB.2022.64 war am 2. Dezember 2022 bei der Beschwerdekam- mer hängig und die Kompetenz der Vorinstanz zur Änderung der Verfügung nicht gegeben. Der diesbezüglich Entscheid der BA vom 2. Dezember 2022 ist daher nicht rechtmässig ergangen.</w:t>
      </w:r>
    </w:p>
    <w:p>
      <w:r>
        <w:rPr>
          <w:b/>
        </w:rPr>
        <w:t>E. 3</w:t>
      </w:r>
    </w:p>
    <w:p>
      <w:r>
        <w:t>Aufgrund des Gesagten ist die Beschwerde insofern gutzuheissen, als die Nichtigkeit der Verfügung vom 2. Dezember 2022 festzustellen ist.</w:t>
      </w:r>
    </w:p>
    <w:p>
      <w:r>
        <w:rPr>
          <w:b/>
        </w:rPr>
        <w:t>E. 4</w:t>
      </w:r>
    </w:p>
    <w:p>
      <w:r>
        <w:t>Das Gesuch um Gewährung der aufschiebenden Wirkung erweist sich mit dem Entscheid in der Hauptsache als gegenstandslos, weshalb das betref- fende Verfahren abzuschreiben ist.</w:t>
      </w:r>
    </w:p>
    <w:p>
      <w:r>
        <w:rPr>
          <w:b/>
        </w:rPr>
        <w:t>E. 5</w:t>
      </w:r>
    </w:p>
    <w:p>
      <w:r>
        <w:t>Die nichtige Verfügung vom 2. Dezember 2022 stützt sich auf die am 25. Au- gust 2022 bei der BA im Nachgang zum Verfahren SV.21.0580 eigereichten Unterlagen (s. oben Buchstabe E.), deren Annahme zu den Akten den übri- gen Ansprechern (soweit ersichtlich) nicht bekannt ist. Demzufolge ist dieser Beschluss auch den übrigen in der Verfügung der BA vom 4. Mai 2022 auf- geführten Parteien z.K. zuzustellen. Sofern durch Ansprecher anderslau- tende Zustelladressen der Beschwerdekammer mitgeteilt wurden, werden diese berücksichtigt.</w:t>
      </w:r>
    </w:p>
    <w:p>
      <w:r>
        <w:t>- 6 -</w:t>
      </w:r>
    </w:p>
    <w:p>
      <w:r>
        <w:rPr>
          <w:b/>
        </w:rPr>
        <w:t>E. 6.1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6.2</w:t>
      </w:r>
    </w:p>
    <w:p>
      <w:r>
        <w:t>Bei diesem Ausgang des Verfahrens ist keine Gerichtsgebühr zu erheben (vgl. Art. 428 Abs. 4 StPO).</w:t>
      </w:r>
    </w:p>
    <w:p>
      <w:r>
        <w:rPr>
          <w:b/>
        </w:rPr>
        <w:t>E. 6.3</w:t>
      </w:r>
    </w:p>
    <w:p>
      <w:r>
        <w:t>Gestützt auf Art. 436 Abs. 3 StPO ist der Beschwerdeführer für den im Beschwerdeverfahren angefallenen Aufwand zu entschädigen. Entschädi- gungspflichtig sind jene Aufwendungen, die in einem kausalen Zusammen- hang mit der Wahrung der Rechte im Verfahren stehen sowie notwendig und verhältnismässig sind. Gestützt auf Art. 12 Abs. 1 BStKR ist die entschädi- gungspflichtige Anwaltstätigkeit bei Verfahren beim Bundesstrafgericht i.d.R. mit Fr. 200.-- bis Fr. 300.-- zu vergüten. Praxisgemäss wird bei Verfahren, welche keine überdurchschnittliche Komplexität aufweisen, der Stundenan- satz für Anwaltstätigkeit auf Fr. 230.-- festgelegt. Der Rechtsvertreter des Beschwerdeführers hat dem Gericht eine Kostennote über Fr. 5‘200.-- Honorar zuzüglich Auslagen von Fr. 156.-- eingereicht. Für das Studium der angefochtenen Verfügung und das Verfassen der Beschwerdeschrift macht er einen Aufwand von insgesamt 16.25 Stunden und einen Stundenansatz von Fr. 320.-- geltend (act. 1.5). In Berücksichtigung des Gegenstands des Verfahrens, des Aktenvolumens, des Umfangs der Beschwerde vom 14. De- zember 2022 und des reglementierten Stundenansatzes erscheint eine Entschädigung für die anwaltliche Tätigkeit in der Höhe von Fr. 3‘000.-- (inkl. MWST und Auslagen) angemessen. Die Beschwerdegegnerin hat dem Be- schwerdeführer eine Parteientschädigung in dieser Höhe auszurichten.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