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BB.2022.112 vom 3. Februar 2023</w:t>
      </w:r>
    </w:p>
    <w:p>
      <w:r>
        <w:t>Bundesstrafgericht, 2023-02-03, DE</w:t>
      </w:r>
    </w:p>
    <w:p>
      <w:r>
        <w:rPr>
          <w:b/>
        </w:rPr>
        <w:t xml:space="preserve">Quelle: </w:t>
      </w:r>
      <w:r>
        <w:t>https://mcp.opencaselaw.ch/entscheid/bstger_BB.2022.112</w:t>
      </w:r>
    </w:p>
    <w:p>
      <w:r>
        <w:t>FR: TPF BB.2022.112 du 3 février 2023</w:t>
      </w:r>
    </w:p>
    <w:p>
      <w:r>
        <w:t>IT: TPF BB.2022.112 del 3 febbraio 2023</w:t>
      </w:r>
    </w:p>
    <w:p>
      <w:pPr>
        <w:pStyle w:val="Heading2"/>
      </w:pPr>
      <w:r>
        <w:t>Regeste</w:t>
      </w:r>
    </w:p>
    <w:p>
      <w:r>
        <w:t>Entschädigung der amtlichen Verteidigung (Art. 135 Abs. 3 StPO)</w:t>
      </w:r>
    </w:p>
    <w:p>
      <w:pPr>
        <w:pStyle w:val="Heading2"/>
      </w:pPr>
      <w:r>
        <w:t>Erwägungen</w:t>
      </w:r>
    </w:p>
    <w:p>
      <w:r>
        <w:rPr>
          <w:b/>
        </w:rPr>
        <w:t>E. 2.1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w:t>
      </w:r>
    </w:p>
    <w:p>
      <w:r>
        <w:rPr>
          <w:b/>
        </w:rPr>
        <w:t>E. 2.2</w:t>
      </w:r>
    </w:p>
    <w:p>
      <w:r>
        <w:t>Die urteilende Instanz muss sich nicht mit allen Parteistandpunkten einläss- lich auseinandersetzen. Sie kann sich auf die für ihren Entscheid wesentli- chen Punkte beschränken, und es genügt, wenn die Behörde wenigstens kurz die Überlegungen nennt, von denen sie sich leiten liess und auf welche</w:t>
      </w:r>
    </w:p>
    <w:p>
      <w:r>
        <w:t>- 4 -</w:t>
      </w:r>
    </w:p>
    <w:p>
      <w:r>
        <w:t>sich ihr Entscheid stützt (BGE 145 IV 99 E. 3.1; 141 IV 249 E. 1.3.1; 139 IV 179 E. 2.2; Urteil des Bundesgerichts 1C_143/2016 vom 2. Mai 2016 E. 2).</w:t>
      </w:r>
    </w:p>
    <w:p>
      <w:r>
        <w:rPr>
          <w:b/>
        </w:rPr>
        <w:t>E. 2.3</w:t>
      </w:r>
    </w:p>
    <w:p>
      <w:r>
        <w:t>Für den Kanton Zürich gilt die Verordnung über die Anwaltsgebühren vom 8. September 2010 (AnwGebV, LS 215.3). In Strafsachen beträgt die Grund- gebühr für Verfahren vor Bezirksgericht gemäss § 17 Abs. 1 lit. b AnwGebV in der Regel Fr. 1'000.-- bis Fr. 28'000.--. Auslagen werden separat entschä- digt (§ 1 Abs. 2). Im Berufungsverfahren wird die Gebühr grundsätzlich nach den für die Vorinstanz geltenden Regeln bemessen, wobei auch berücksich- tigt wird, ob das Urteil vollumfänglich oder nur teilweise angefochten wurde (§ 18 Abs. 1 AnwGebV).</w:t>
      </w:r>
    </w:p>
    <w:p>
      <w:r>
        <w:rPr>
          <w:b/>
        </w:rPr>
        <w:t>E. 2.4</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auch Urteil des Bundesgerichts 6B_824/2016 vom 10. April 2017 E. 18.3.1, nicht in BGE 143 IV 214 publizierte Erwägung).</w:t>
      </w:r>
    </w:p>
    <w:p>
      <w:r>
        <w:rPr>
          <w:b/>
        </w:rPr>
        <w:t>E. 2.5</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w:t>
      </w:r>
    </w:p>
    <w:p>
      <w:r>
        <w:t>- 5 -</w:t>
      </w:r>
    </w:p>
    <w:p>
      <w:r>
        <w:t>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 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3.1</w:t>
      </w:r>
    </w:p>
    <w:p>
      <w:r>
        <w:t>Ein Entscheid muss, um dem verfassungsmässigen Gehörsanspruch (Art. 29 Abs. 2 BV) Genüge zu tun, dergestalt abgefasst sein, dass sich der Betroffene über seine Tragweite Rechenschaft geben und ihn in voller Kenntnis der Tatsachen an die höhere Instanz weiterziehen kann (zum Gan- zen BGE 139 IV 179 E. 2.2 S. 183; 138 I 232 E. 5.1 S. 237; vgl. E. 2.2 oben). Gegenteiliges, das heisst ein Rechtsmittelverfahren ohne Kenntnis der Ent- scheidgründe, ist den Parteien und der Rechtsmittelinstanz grundsätzlich nicht zuzumuten (vgl. zur Berufung im Zivilprozess REETZ/THEILER, in: Kom- 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rPr>
          <w:b/>
        </w:rPr>
        <w:t>E. 3.2</w:t>
      </w:r>
    </w:p>
    <w:p>
      <w:r>
        <w:t>Vorliegend anerkennt der Beschwerdeführer, dass seine Aufwendungen für das Mandat überdurchschnittlich hoch waren. Er habe sich jedoch damit explizit im Detail im Rahmen seines Plädoyers auseinandergesetzt (vgl. act. 7.2 S. 86) und dargetan, weshalb das im konkreten Fall notwendig war;</w:t>
      </w:r>
    </w:p>
    <w:p>
      <w:r>
        <w:t>- 6 -</w:t>
      </w:r>
    </w:p>
    <w:p>
      <w:r>
        <w:t>er hat dazu auch eine detaillierte Honorarnote eingereicht (vgl. act. 7.1). Das Obergericht hält mit dem Hinweis auf im Untersuchungs- und im erstinstanz- lichen Hauptverfahren gesprochene Entschädigungen spezifisch nur fest, der Aufwand sei angesichts der Bedeutung des Falles und in gesamter Betrachtung unangemessen. Es hat sich mit den Vorbringen des Rechtsan- walts überhaupt nicht auseinandergesetzt. Es hat sich auch im Honorarbe- schwerdeverfahren nicht dazu geäussert. Auch wenn die pauschale Festset- zung ausdrücklich in der kantonalen Rechtsgrundlage vorgesehen ist, wäre das Obergericht gehalten gewesen, die Honorarfestsetzung zumindest in den Grundzügen mit Blick auf die spezifischen Argumente des Rechtsan- walts zu begründen. Es hat damit das rechtliche Gehör des Rechtsanwalts verletzt.</w:t>
      </w:r>
    </w:p>
    <w:p>
      <w:r>
        <w:rPr>
          <w:b/>
        </w:rPr>
        <w:t>E. 3.3</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3.4</w:t>
      </w:r>
    </w:p>
    <w:p>
      <w:r>
        <w:t>Die Gehörsverletzung kann vorliegend von der Beschwerdekammer nicht geheilt werden. Die Beschwerdekammer ist nicht genügend vertraut mit der praxisgemässen Handhabung der weiten Zürcher Honorarpauschalen, um daraus an Stelle des Obergerichts eigenständig, abstrakt und rechtsgleich, das Honorar abzuleiten. Die strukturell fehlende Begründung erlaubt ihr nicht, ein Honorar selbst festzusetzen. Dies gilt umso mehr, als das Oberge- richt auf Vernehmlassung verzichtet hat und damit die Gelegenheit im Honorarbeschwerdeverfahren nicht wahrgenommen hat, sich zu den</w:t>
      </w:r>
    </w:p>
    <w:p>
      <w:r>
        <w:t>- 7 -</w:t>
      </w:r>
    </w:p>
    <w:p>
      <w:r>
        <w:t>Argumenten des Beschwerdeführers zu äussern. Erlaubt das angefochtene Urteil keinen reformatorischen Entscheid und ist eine Kassation angezeigt, so obsiegt der amtliche Verteidiger vollumfänglich (vgl. nur BGE 137 V 210 E. 7.1). Die Beschwerde ist dementsprechend gutzuheissen und Dispositiv Ziff. 9, 2. Zeile – «Fr. 12‘000.-- amtliche Verteidigung (inkl. Barauslagen und MwSt.)» – des angefochtenen Urteils ist antragsgemäss aufzuheben. Das Verfahren ist an das Obergericht des Kantons Zürich zu neuem Entscheid über die Entschädigung der amtlichen Verteidigung zurückzuweisen.</w:t>
      </w:r>
    </w:p>
    <w:p>
      <w:r>
        <w:rPr>
          <w:b/>
        </w:rPr>
        <w:t>E. 4.1</w:t>
      </w:r>
    </w:p>
    <w:p>
      <w:r>
        <w:t>Bei diesem Ausgang des Verfahrens sind keine Gerichtskosten zu erheben.</w:t>
      </w:r>
    </w:p>
    <w:p>
      <w:r>
        <w:rPr>
          <w:b/>
        </w:rPr>
        <w:t>E. 4.2</w:t>
      </w:r>
    </w:p>
    <w:p>
      <w:r>
        <w:t>Der obsiegende amtliche Verteidiger hat Anspruch auf eine Prozessentschä- digung (Art. 436 Abs. 1 i.V.m. Art. 429 Abs. 1 lit. a StPO). Er beantragt eine Entschädigung nach Ermessen des Gerichts. Vorliegend erscheint eine Ent- schädigung von Fr. 1‘200.-- angemessen. Das Obergericht des Kantons Zü- rich ist demnach zu verpflichten, Rechtsanwalt A. für das Honorarbeschwer- deverfahren eine Prozessentschädigung von Fr. 1'200.-- (inkl. Barauslagen und MwSt.) zu bezahlen (vgl. Art. 10 und 12 Abs. 1 und 2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