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BB.2021.74 vom 5. April 2022</w:t>
      </w:r>
    </w:p>
    <w:p>
      <w:r>
        <w:t>Bundesstrafgericht, 2022-04-05, DE</w:t>
      </w:r>
    </w:p>
    <w:p>
      <w:r>
        <w:rPr>
          <w:b/>
        </w:rPr>
        <w:t xml:space="preserve">Quelle: </w:t>
      </w:r>
      <w:r>
        <w:t>https://mcp.opencaselaw.ch/entscheid/bstger_BB.2021.74</w:t>
      </w:r>
    </w:p>
    <w:p>
      <w:r>
        <w:t>FR: TPF BB.2021.74 du 5 avril 2022</w:t>
      </w:r>
    </w:p>
    <w:p>
      <w:r>
        <w:t>IT: TPF BB.2021.74 del 5 aprile 2022</w:t>
      </w:r>
    </w:p>
    <w:p>
      <w:pPr>
        <w:pStyle w:val="Heading2"/>
      </w:pPr>
      <w:r>
        <w:t>Regeste</w:t>
      </w:r>
    </w:p>
    <w:p>
      <w:r>
        <w:t>Ablehnung der Wiederaufnahme (Art. 323 StPO); Unentgeltliche Rechtspflege im Beschwerdeverfahren (Art. 29 Abs. 3 BV)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Dezember 2019 E. 1.2.1 mit Hinweis);</w:t>
      </w:r>
    </w:p>
    <w:p>
      <w:r>
        <w:t>- vorliegend die Beschwerdelegitimation des Beschwerdeführers zu bejahen ist;</w:t>
      </w:r>
    </w:p>
    <w:p>
      <w:r>
        <w:t>- die Beschwerde gegen schriftlich oder mündlich eröffnete Entscheide innert zehn Tagen schriftlich und begründet einzureichen ist (Art. 396 Abs. 1 StPO);</w:t>
      </w:r>
    </w:p>
    <w:p>
      <w:r>
        <w:t>- wenn die Schweizerische Strafprozessordnung verlangt, dass das Rechts- mittel begründet wird, die Person oder die Behörde, die das Rechtsmittel er- greift, gemäss Art. 385 Abs. 1 StPO genau anzugeben hat, welche Punkte des Entscheides sie anficht (lit. a), welche Gründe einen anderen Entscheid nahe legen (lit. b) und welche Beweismittel sie anruft;</w:t>
      </w:r>
    </w:p>
    <w:p>
      <w:r>
        <w:t>- Antrag und Begründung grundsätzlich jeweils auseinanderzuhalten sind; es bei Laieneingaben indes genügen kann, wenn die Anträge hinreichend deut- lich aus der Begründung hervorgehen (ZIEGLER/KELLER, Basler Kommentar, 2. Aufl. 2014, Art. 385 StPO N. 1b);</w:t>
      </w:r>
    </w:p>
    <w:p>
      <w:r>
        <w:t>- in der vorliegenden Beschwerdeschrift zwar eine klare Trennung zwischen Anträgen und Begründung nicht zu erkennen ist; aus ihr aber hinreichend deutlich hervorgeht, wie und aus welchen Gründen zu entscheiden sei;</w:t>
      </w:r>
    </w:p>
    <w:p>
      <w:r>
        <w:t>- auf die im Übrigen fristgerecht erhobene Beschwerde gegen die Verfügung vom 17. März 2021 also grundsätzlich einzutreten ist;</w:t>
      </w:r>
    </w:p>
    <w:p>
      <w:r>
        <w:t>- der Streitgegenstand durch die angefochtene Verfügung oder Verfahrens- handlung verbindlich festgelegt wird und vom Beschwerdeführer nicht frei bestimmt werden kann; die Beschwerdekammer nicht Gegenstände beurtei- len kann, über welche die vorinstanzliche Strafbehörde nicht entschieden hat (vgl. GUIDON, Die Beschwerde gemäss Schweizerischer Strafprozessord- nung, 2011, N. 390 und 543);</w:t>
      </w:r>
    </w:p>
    <w:p>
      <w:r>
        <w:t>- 5 -</w:t>
      </w:r>
    </w:p>
    <w:p>
      <w:r>
        <w:t>- die angefochtene Verfügung einzig die Wiederaufnahme zum Gegenstand hat;</w:t>
      </w:r>
    </w:p>
    <w:p>
      <w:r>
        <w:t>- soweit der Beschwerdeführer beantragt, es sei für das Verfahren vor der BA die unentgeltliche Rechtspflege zu gewähren und (eventualiter) es sei die BA anzuweisen, ihm die vollständigen Original-Akten (547 Seiten) umgehend zu retournieren, darauf nicht einzutreten ist;</w:t>
      </w:r>
    </w:p>
    <w:p>
      <w:r>
        <w:t>- der Beschwerdeführer geltend macht, die gesamten vorgängig eingegebe- nen Akten seien in vollem Umfang als neu zu werten, weil die Beschwerde- gegnerin sie gar nie geprüft habe;</w:t>
      </w:r>
    </w:p>
    <w:p>
      <w:r>
        <w:t>- gemäss Art. 323 Abs. 1 StPO die Staatsanwaltschaft die Wiederaufnahme eines durch Einstellungsverfügung rechtskräftig beendeten Verfahrens ver- fügt, wenn ihr neue Beweismittel oder Tatsachen bekannt werden, die für eine strafrechtliche Verantwortlichkeit der beschuldigten Person sprechen (lit. a) und sich nicht aus den früheren Akten ergeben (lit. b); diese beiden Voraussetzungen kumulativ erfüllt sein müssen (BGE 141 IV 194 E. 2.3 S. 197);</w:t>
      </w:r>
    </w:p>
    <w:p>
      <w:r>
        <w:t>- Art. 323 StPO aufgrund der Verweisung in Art. 310 Abs. 2 StPO auch auf die Wiederaufnahme eines durch Nichtanhandnahmeverfügung beendeten Ver- fahrens Anwendung findet (vgl. auch Art. 11 Abs. 2 StPO); an die Wieder- aufnahme in diesem Fall jedoch noch geringere Voraussetzungen geknüpft sind als an die Wiederaufnahme nach einer Einstellung (BGE 141 IV 194 E. 2.3 S. 198 mit Hinweis);</w:t>
      </w:r>
    </w:p>
    <w:p>
      <w:r>
        <w:t>- Beweismittel oder Tatsachen neu sind, wenn sie zum Zeitpunkt der Nichtan- handnahme unbekannt waren; entscheidend dabei ist, ob entsprechende Hinweise in den Akten vorhanden waren oder nicht (vgl. BGE 141 IV 194 E. 2.3 S. 197);</w:t>
      </w:r>
    </w:p>
    <w:p>
      <w:r>
        <w:t>- der Beschwerdeführer weder in seinen Eingaben an die Beschwerdegegne- rin, noch in seinen Eingaben an die Beschwerdekammer Beweismittel oder Tatsachen geltend macht, die zum Zeitpunkt der Nichtanhandnahme unbe- kannt waren;</w:t>
      </w:r>
    </w:p>
    <w:p>
      <w:r>
        <w:t>- er vielmehr auf die gesamten vorgängig eingegebenen Akten verweist und damit im Ergebnis die Nichtanhandnahmeverfügung vom 19. Mai 2020 be- anstandet; dem Beschwerdeführer offenstand, diese auf dem Rechtsmittel-</w:t>
      </w:r>
    </w:p>
    <w:p>
      <w:r>
        <w:t>- 6 -</w:t>
      </w:r>
    </w:p>
    <w:p>
      <w:r>
        <w:t>weg überprüfen zu lassen; der Beschwerdeführer mit Beschwerde und Re- visionsgesuch von dieser Möglichkeit ausschöpfend Gebrauch machte; es nicht angeht, über die Wiederaufnahme darauf zurückzukommen;</w:t>
      </w:r>
    </w:p>
    <w:p>
      <w:r>
        <w:t>- die Voraussetzungen für eine Wiederaufnahme eindeutig nicht erfüllt sind;</w:t>
      </w:r>
    </w:p>
    <w:p>
      <w:r>
        <w:t>- die Ablehnung der Wiederaufnahme durch die Beschwerdegegnerin nicht zu beanstanden ist;</w:t>
      </w:r>
    </w:p>
    <w:p>
      <w:r>
        <w:t>- sich die Beschwerde nach dem Gesagten als offensichtlich unbegründet er- weist, weshalb sie ohne die Durchführung eines Schriftenwechsels abzuwei- sen ist, soweit darauf einzutreten ist (Art. 390 Abs. 2 StPO im Umkehr- schluss);</w:t>
      </w:r>
    </w:p>
    <w:p>
      <w:r>
        <w:t>- bei diesem Ausgang des Verfahrens das Gesuch des Beschwerdeführers um Gewährung der unentgeltlichen Rechtspflege für das vorliegende Be- schwerdeverfahren wegen Aussichtslosigkeit abzuweisen ist (vgl. Art. 29 Abs. 3 BV; Urteil des Bundesgerichts 1B_705/2011 vom 9. Mai 2012 E. 2.3.2);</w:t>
      </w:r>
    </w:p>
    <w:p>
      <w:r>
        <w:t>- bei diesem Ausgang des Verfahrens die Gerichtskosten dem Beschwerde- führer aufzuerlegen sind (vgl. Art. 428 Abs. 1 StPO) und die Gerichtsgebühr auf Fr. 200.– festzusetzen ist (vgl. Art. 73 StBOG und Art. 5 und 8 Abs. 1 des Reglements des Bundesstrafgerichts vom 31. August 2010 über die Kosten, Gebühren und Entschädigungen in Bundesstrafverfahren [BStKR; SR 173.713.162]);</w:t>
      </w:r>
    </w:p>
    <w:p>
      <w:r>
        <w:t>- 7 -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