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BB.2021.61 vom 1. Oktober 2021</w:t>
      </w:r>
    </w:p>
    <w:p>
      <w:r>
        <w:t>Bundesstrafgericht, 2021-10-01, DE</w:t>
      </w:r>
    </w:p>
    <w:p>
      <w:r>
        <w:rPr>
          <w:b/>
        </w:rPr>
        <w:t xml:space="preserve">Quelle: </w:t>
      </w:r>
      <w:r>
        <w:t>https://mcp.opencaselaw.ch/entscheid/bstger_BB.2021.61</w:t>
      </w:r>
    </w:p>
    <w:p>
      <w:r>
        <w:t>FR: TPF BB.2021.61 du 1 octobre 2021</w:t>
      </w:r>
    </w:p>
    <w:p>
      <w:r>
        <w:t>IT: TPF BB.2021.61 del 1 ottobre 2021</w:t>
      </w:r>
    </w:p>
    <w:p>
      <w:pPr>
        <w:pStyle w:val="Heading2"/>
      </w:pPr>
      <w:r>
        <w:t>Regeste</w:t>
      </w:r>
    </w:p>
    <w:p>
      <w:r>
        <w:t>Verwarnung (Art. 64 Abs. 1 StPO)</w:t>
      </w:r>
    </w:p>
    <w:p>
      <w:pPr>
        <w:pStyle w:val="Heading2"/>
      </w:pPr>
      <w:r>
        <w:t>Erwägungen</w:t>
      </w:r>
    </w:p>
    <w:p>
      <w:r>
        <w:rPr>
          <w:b/>
        </w:rPr>
        <w:t>E. 1.1</w:t>
      </w:r>
    </w:p>
    <w:p>
      <w:r>
        <w:t>Gegen Verfügungen und Verfahrenshandlungen der Bundesanwaltschaft kann bei der Beschwerdekammer des Bundesstrafgerichts Beschwerde er- hoben werden (Art. 393 Abs. 1 lit. a StPO i.V.m. Art. 37 Abs. 1 StBOG; vgl. auch Art. 64 Abs. 2 StPO i.V.m. Art. 37 Abs. 1 StBOG). Zur Beschwerde be- rechtigt ist jede Partei oder jeder andere Verfahrensbeteiligte, welche oder welcher ein rechtlich geschütztes Interesse an der Aufhebung oder Ände- rung des angefochtenen Entscheides hat (Art. 382 Abs. 1 StPO). Die Be- schwerde gegen schriftlich oder mündlich eröffnete Entscheide ist innert zehn Tagen schriftlich und begründet einzureichen (Art. 396 Abs. 1 StPO).</w:t>
      </w:r>
    </w:p>
    <w:p>
      <w:r>
        <w:rPr>
          <w:b/>
        </w:rPr>
        <w:t>E. 1.2</w:t>
      </w:r>
    </w:p>
    <w:p>
      <w:r>
        <w:t>Die Verfügung der Bundesanwaltschaft, mit welcher gegenüber dem Be- schwerdeführer eine Verwarnung ausgesprochen worden ist, ist ein zulässi- ges Anfechtungsobjekt im Sinne von Art. 393 Abs. 1 lit. a StPO. Entgegen den von der Beschwerdegegnerin geäusserten Zweifeln an der Legitimation des Beschwerdeführers zur Erhebung der Beschwerde, ist diese zu bejahen: Einem Anwalt kann es nicht gleichgültig sein, ob sein Verhalten Gegenstand einer Disziplinarmassnahme darstellt oder nicht; daher wird er selbst auch wenn bloss eine Verwarnung ausgesprochen wird, in seinen rechtlich ge- schützten Interessen betroffen (BGE 103 Ia 426 E. 1b). Auf die im Übrigen form- und fristgerecht erhobene Beschwerde ist daher einzutreten.</w:t>
      </w:r>
    </w:p>
    <w:p>
      <w:r>
        <w:t>- 8 -</w:t>
      </w:r>
    </w:p>
    <w:p>
      <w:r>
        <w:rPr>
          <w:b/>
        </w:rPr>
        <w:t>E. 2</w:t>
      </w:r>
    </w:p>
    <w:p>
      <w:r>
        <w:t>Die Verfahrensakten des Ausstandsverfahrens BB.2021.65 werden beigezo- gen (vgl. supra lit. G).</w:t>
      </w:r>
    </w:p>
    <w:p>
      <w:r>
        <w:rPr>
          <w:b/>
        </w:rPr>
        <w:t>E. 3.1</w:t>
      </w:r>
    </w:p>
    <w:p>
      <w:r>
        <w:t>Mit der Beschwerde können gemäss Art. 393 Abs. 2 StPO Rechtsverletzun- gen, einschliesslich Überschreitung und Missbrauch des Ermessens, Rechtsverweigerung und Rechtsverzögerung (lit. a), die unvollständige oder unrichtige Feststellung des Sachverhalts (lit. b) sowie die Unangemessen- heit (lit. c) gerügt werden. Die Beschwerdekammer ist bei ihrem Entscheid nicht an die Anträge und Begründungen der Parteien gebunden (Art. 391 Abs. 1 StPO).</w:t>
      </w:r>
    </w:p>
    <w:p>
      <w:r>
        <w:rPr>
          <w:b/>
        </w:rPr>
        <w:t>E. 3.2</w:t>
      </w:r>
    </w:p>
    <w:p>
      <w:r>
        <w:t>Eine behördliche Verfahrenshandlung ist unangemessen, wenn sie zwar in- nerhalb des Ermessens- und Beurteilungsspielraumes liegt und die Verfas- sungsprinzipien sowie Sinn und Zweck der gesetzlichen Ordnung beachtet, das Ermessen jedoch nicht richtig, das heisst unzweckmässig gehandhabt wird (vgl. BGE 129 I 139 E. 4.1.1). Die Feststellung einer Unangemessenheit bleibt stets eine Wertungsfrage. Auch wenn die Beschwerdeinstanz die von der Strafprozessordnung eingeräumte Kognition grundsätzlich voll auszu- schöpfen hat, ist es unter dem Titel der sog. Prüfungsdichte/-intensität zu- lässig, im Rahmen prinzipiell freier Kognition die erhobenen Rügen nicht im- mer mit der gleichen Intensität zu prüfen. Bei Vorliegen spezieller Sachkennt- nisse in tatsächlicher Hinsicht darf und muss auch der Beschwerdeinstanz im Verfahren nach den Art. 393 ff. StPO zugebilligt werden, nicht ohne Not von der Auffassung der Vorinstanz abzuweichen und ihr eigenes anstelle deren Ermessen zu setzen (GUIDON, Basler Kommentar, 2. Aufl. 2014, N. 18 f. zu Art. 393 StPO). Eine abgeschwächte, ebenfalls zulässige Form der Zurückhaltung besteht sodann darin, der Vorinstanz die Wahl unter meh- reren angemessenen Lösungen zu überlassen. Die Beschwerdeinstanz kann also eine angefochtene, hoheitliche Verfahrenshandlung schützen, wenn sich diese als zweckmässig erweist, unbekümmert darum, ob sich wei- tere ebenso zweckmässige Lösungen erkennen lassen (vgl. BGE 127 II 238 E. 3b/aa). Es ist in diesem Sinne nicht zu beanstanden, wenn sich die Be- schwerdeinstanz damit begnügt, die Angemessenheit der Verfahrenshand- lung zu kontrollieren, und – soweit diese nicht unangemessen ist – von einer Abänderung der angefochtenen Handlung absieht, auch wenn sie selbst, hätte sie als erstinstanzliche Strafbehörde entschieden, möglicherweise eine andere Lösung gewählt hätte (vgl. BGE 123 II 210 E. 2c; GUIDON, a.a.O., N. 17 f. zu Art. 393 StPO; KELLER, Zürcher Kommentar, 3. Aufl. 2020, N. 39 f. zu Art. 393 StPO).</w:t>
      </w:r>
    </w:p>
    <w:p>
      <w:r>
        <w:t>- 9 -</w:t>
      </w:r>
    </w:p>
    <w:p>
      <w:r>
        <w:rPr>
          <w:b/>
        </w:rPr>
        <w:t>E. 4.1</w:t>
      </w:r>
    </w:p>
    <w:p>
      <w:r>
        <w:t>Der Beschwerdeführer macht zunächst eine Verletzung des rechtlichen Ge- hörs geltend. Er sei von der Bundesanwaltschaft vor Erlass der angefochte- nen Verfügung weder in Kenntnis gesetzt worden, dass diese eine Diszipli- narmassnahme nach Art. 64 StPO in Betracht ziehe, noch sei ihm die Mög- lichkeit eingeräumt worden, sich dazu zu äussern. Dem Beschwerdeführer würden durch die Gehörsverletzung schwere Nachteile erwachsen, da er sich zur Disziplinarsache nur einmal vor einer Beschwerdeinstanz äussern könne (act. 1 S. 16).</w:t>
      </w:r>
    </w:p>
    <w:p>
      <w:r>
        <w:rPr>
          <w:b/>
        </w:rPr>
        <w:t>E. 4.2</w:t>
      </w:r>
    </w:p>
    <w:p>
      <w:r>
        <w:t>Gemäss Art. 64 Abs. 1 StPO kann die Verfahrensleitung Personen, die den Geschäftsgang stören, den Anstand verletzen oder verfahrensleitende An- ordnungen missachten, mit Ordnungsbusse bis zu 1000 Franken belegen. Gestützt auf den Grundsatz a maiore minus ist es zulässig, dass anstatt der Ordnungsbusse eine blosse Verwarnung ausgesprochen wird (JENT, Basler Kommentar, 2. Aufl. 2014, N. 1 zu Art. 64 StPO). Grundsätzlich ist vor Erlass einer Disziplinarmassnahme nach Art. 64 Abs. 1 StPO das rechtliche Gehör zu gewähren (BRÜSCHWEILER/NADIG/SCHNEEBELI, Zürcher Kommentar, N. 5 zu Art. 64 StPO; JENT, a.a.O., N. 5 zu Art. 64 StPO). Das Bundesgericht hat festgehalten, dass in Fällen, da eine Busse zur Ahndung einer Ordnungs- widrigkeit ausgesprochen wird, der Gehörsanspruch nicht aus dem persön- lichkeitsbezogenen Mitwirkungsrecht des Betroffenen erwächst, sondern höchstens aus der allfälligen Notwendigkeit zur Sachabklärung (BGE 111 Ia 275 E. 2c). Mit anderen Worten kann von der Gewährung des rechtlichen Gehörs abgesehen werden, wenn aus dem Verhalten des Betroffenen selbst hervorgeht, dass eine zusätzliche Anhörung den Sachverhalt nicht weiter zu erhellen vermag (JENT, a.a.O.). Wird beispielsweise mutwillig oder trölerisch prozessiert, in den Rechtsschriften oder in den Parteivorträgen der gebotene Anstand missachtet, ein Termin nicht eingehalten, so vermag eine zusätzli- che Anhörung in der Regel den Sachverhalt nicht weiter zu erhellen. In sol- chen Fällen erübrigt es sich deshalb unter verfassungsmässigen Gesichts- punkten dem Betroffenen vorgängig des Disziplinarentscheids Gehör zu ge- währen (BGE 111 Ia 275 E. 2c). Nach der Rechtsprechung kann eine Ver- letzung des rechtlichen Gehörs sodann im Rechtsmittelverfahren geheilt werden, wenn die Kognition der Rechtsmittelinstanz gegenüber derjenigen der unteren Instanz nicht eingeschränkt ist und dem Beschwerdeführer kein Nachteil erwächst. Bei einer besonders schwerwiegenden Verletzung des rechtlichen Gehörs ist die Heilung ausgeschlossen (vgl. BGE 138 II 77 E. 4; 129 I 129 E. 2.23; 126 I 68 E. 2).</w:t>
      </w:r>
    </w:p>
    <w:p>
      <w:r>
        <w:rPr>
          <w:b/>
        </w:rPr>
        <w:t>E. 4.3</w:t>
      </w:r>
    </w:p>
    <w:p>
      <w:r>
        <w:t>Die Beschwerdegegnerin hatte dem Beschwerdeführer vor Erlass der Verfü- gung vom 15. Februar 2021 betreffend Verwarnung das rechtliche Gehör</w:t>
      </w:r>
    </w:p>
    <w:p>
      <w:r>
        <w:t>- 10 -</w:t>
      </w:r>
    </w:p>
    <w:p>
      <w:r>
        <w:t>nicht gewährt. Vor dem Hintergrund der zitierten Rechtsprechung war dies auch nicht notwendig; eine zusätzliche Anhörung hätte den Sachverhalt nicht weiter zu erhellen vermögen. Im Übrigen wäre eine allfällige Gehörsverlet- zung im vorliegenden Beschwerdeverfahren, in welchem die Beschwerde- kammer über volle Kognition verfügt (Art. 393 Abs. 2 StPO), ohnehin geheilt worden, zumal von einer besonders schweren Verletzung des rechtlichen Gehörs im vorliegenden Fall, da bloss eine Verwarnung ausgesprochen wor- den ist, nicht auszugehen wäre (vgl. Urteil des Bundesgerichts 1B_321/2015 vom 8. Juni 2016 E. 3.2.3).</w:t>
      </w:r>
    </w:p>
    <w:p>
      <w:r>
        <w:rPr>
          <w:b/>
        </w:rPr>
        <w:t>E. 5.1</w:t>
      </w:r>
    </w:p>
    <w:p>
      <w:r>
        <w:t>Der Beschwerdeführer ist sodann der Ansicht, der im Schreiben vom 27. Ja- nuar 2021 umschriebene Umstand, die Bundesanwaltschaft sei möglicher- weise an rechtswidrigen Handlungen beteiligt gewesen, stehe eindeutig in einem prozessualen Kontext und sei sachlich gerechtfertigt. Die inkriminierte Äusserung sei als Begründung eines Beweisantrags bzw. der Begründung eines Prozessstandpunkts zur Wahrung der berechtigten Interessen von Platini berechtigt. Die Äusserung sei klar als Vermutung gemacht worden und auch als solche wahrnehmbar gewesen. Die gewählte Äusserung sei unbestritten pointiert, aber nicht unnötig verletzend oder angreifend, insbe- sondere verletze sie den Anstand nicht (act. 1 S. 18 ff.).</w:t>
      </w:r>
    </w:p>
    <w:p>
      <w:r>
        <w:rPr>
          <w:b/>
        </w:rPr>
        <w:t>E. 5.2</w:t>
      </w:r>
    </w:p>
    <w:p>
      <w:r>
        <w:t>Die Beschwerdegegnerin begründete die Aussprechung einer Verwarnung gegen den Beschwerdeführer damit, dass dieser der Bundesanwaltschaft unterstellt habe, in/an rechtswidrige(n) Handlungen verwickelt/beteiligt zu sein. Ein solcher Vorwurf gehe über das hinaus, was der Gesetzgeber unter dem Titel Anstandsverletzung im Sinne von Art. 64 Abs. 1 StPO als sankti- onswürdig qualifiziere. Dabei habe der Beschwerdeführer in den Raum ge- stellt, dass die Bundesanwaltschaft aus ihren früheren Fehlern, welche zu einem Strafverfahren geführt hätten, festhalte und damit das Verhalten der Mitglieder dieser Behörde als ein solches von allenfalls strafrechtlicher Re- levanz umschreibe. Der indirekte Vorwurf eines möglichen strafrechtlichen Verhaltens sprenge per se die Grenzen dessen, was noch als höflich be- zeichnet werden könne (act. 1.1 S. 8). Konkret gehe es primär um die fol- genden zwei Sätze des Schreibens vom 27. Januar 2021, welche jedoch in ihrem Gesamtkontext zu lesen seien: «Ich bedauere in diesem Zusammen- hang, dass die Bundesanwaltschaft an ihren früheren Fehlern festhält, die insbesondere zum Rücktritt von Herrn Bundesanwalt Michael Lauber und der Eröffnung eines Strafverfahrens gegen ihn und gegen den derzeitigen Präsidenten der Fédération Internationale de Football Association (FIFA), Herrn Gianni Infantino, geführt haben» und «Namens und im Auftrag meines</w:t>
      </w:r>
    </w:p>
    <w:p>
      <w:r>
        <w:t>- 11 -</w:t>
      </w:r>
    </w:p>
    <w:p>
      <w:r>
        <w:t>Mandanten beantrage ich hiermit die Edition der amtlichen Akten des Straf- verfahrens BB.2020.228 vor dem ausserordentlichen Bundesanwalt, damit der Grad der Verwicklung/Beteiligung der Bundesanwaltschaft an diesen rechtswidrigen Handlungen und deren Ausmass und Tragweite abgeschätzt werden können» (act. 4 S. 4).</w:t>
      </w:r>
    </w:p>
    <w:p>
      <w:r>
        <w:rPr>
          <w:b/>
        </w:rPr>
        <w:t>E. 5.3</w:t>
      </w:r>
    </w:p>
    <w:p>
      <w:r>
        <w:t>Zunächst ist festzuhalten, dass es sich bei der Aussprechung einer Diszipli- narmassnahme nach Art. 64 Abs. 1 StPO weitgehend um einen Ermessens- entscheid handelt (Urteil des Bundesgerichts 6B_893/2018 vom 2. April 2019 E. 3.1.2; vgl. JENT, a.a.O. N. 7 zu Art. 64 StPO). Unter Anstand wird die gute Sitte oder das schickliche Benehmen verstanden bzw. das, was in einer Gesellschaft als Mass des zwischenmenschlichen Verhaltens erwartet wird (Duden, Die deutsche Sprache, Wörterbuch in drei Bänden, Band 1: A-GELT, 2013; Urteil des Bundesgerichts U 269/98 vom 15. März 2001 E. 2d). Sachliche Kritik gegenüber der Gegenpartei, den Gerichten und Behörden sowie ein gewisses Mass an Übertreibungen im Rahmen einer pointierten Vertretung von Standpunkten müssen innerhalb der Grenzen des Anstands zugelassen werden, ebenso strafprozessual oder überhaupt er- laubtes bzw. gerechtfertigtes Verhalten (JENT, a.a.O., N. 2 zu Art. 63 StPO). Solange die (Behörden-)Kritik oder die Äusserungen mit Bezug auf den Streitgegenstand noch als sachbezogen und verhältnismässig erscheinen, sie nicht wider besseres Wissen vorgebracht und blosse Vermutung auch als solche bezeichnet werden, können sie als gerechtfertigt betrachtet wer- den, und eine Verletzung der Verfahrensdisziplin in analoger Anwendung von Art. 14 StGB ist zu verneinen (BGE 116 IV 211 E. 4a/bb). Hingegen qua- lifizierte das Bundesgericht die Bezeichnung aller schweizerischen Rechts- pflegeorgane als unfähig, böswillig, parteiisch und dünkelhaft als anstands- verletzend (Urteil des Bundesgerichts 1P_721/2000 vom 19. Januar 2001 E. 1). Im Falle, da ein Anwalt den Richterinnen und Richter der Strafrechtli- chen Abteilung des Bundesgerichts vorgeworfen hatte, sie hätten ihre Wie- derwahl vor Augen und beugten sich gesellschaftlichen oder politischen For- derungen, qualifizierte das Bundesgericht diese Äusserung als grobe Ent- gleisung, mahnte den Anwalt ab und wies ihn daraufhin, dass ihm bei weite- ren Eingaben dieser Art eine Ordnungsbusse auferlegt werden könne (Urteil des Bundesgerichts 6F_18/2020 vom 22. Juli 2020 E. 2.2).</w:t>
      </w:r>
    </w:p>
    <w:p>
      <w:r>
        <w:t>Es ist öffentlich bekannt, dass gegen den ehemaligen Bundesanwalt Michael Lauber eine Strafuntersuchung wegen des Verdachts der Amtsgeheimnis- verletzung eröffnet worden ist (https://www.parlament.ch/press-releases/Pa- ges/mm-ik-n-2020-08-24.aspx). Der Beschwerdeführer unterstellt mit den beiden obgenannten Äusserungen (vgl. E. 5.2) ohne jegliche weitere Be- gründung der jetzigen Verfahrensleitung im Verfahren SV.15.1013 strafbare</w:t>
      </w:r>
    </w:p>
    <w:p>
      <w:r>
        <w:t>- 12 -</w:t>
      </w:r>
    </w:p>
    <w:p>
      <w:r>
        <w:t>bzw. rechtswidrige Handlungen. Ob sich der Beschwerdeführer mit dem Aus- druck «Bundesanwaltschaft» tatsächlich nicht auf die Verfahrensleitung im Verfahren SV.15.1013 bezogen haben will, wie er geltend macht, kann dahin gestellt bleiben. Aus dem Kontext heraus kann gar nicht anders verstanden werden, als dass sich der Beschwerdeführer mit der Äusserung, er bedaure, dass die Bundesanwaltschaft an ihren früheren Fehlern festhalte, sich auf die gegenwärtige Verfahrensleitung im Verfahren SV.15.1013 bezieht. Bei objektiver Betrachtung ist die Unterstellung der Beteiligung an einer strafba- ren bzw. rechtswidrigen Handlung ohne jegliche Begründung ohne Weiteres anstandsverletzend. Dass es sich hierbei lediglich um eine vom Beschwer- deführer geäusserte Vermutung handle, geht weder aus dem Wortlaut der Äusserung objektiv noch aus dem Gesamtkontext des Schreibens hervor. Damit entfällt bereits eine Berufung auf den Rechtfertigungsgrund von Art. 14 StGB. Es spielt ferner auch keine Rolle, dass es dem Beschwerde- führer nicht darum gegangen sei, die mit dem Strafverfahren betrauten Per- sonen zu verunglimpfen. Massgebend ist vorliegend einzig, wie der Empfän- ger die Ausführungen interpretieren durfte. Nach dem Gesagten durfte die Beschwerdegegnerin, ohne in Willkür zu verfallen oder ihr Ermessen zu missbrauchen oder zu überschreiten, davon ausgehen, die Eingabe vom 27. Januar 2021, insbesondere die beiden zitierten Abschnitte, verstosse ge- gen den gebotenen Anstand. Die in diesem Zusammenhang ausgespro- chene Verwarnung erweist sich vor diesem Hintergrund als verhältnismässig und ist nicht zu beanstanden.</w:t>
      </w:r>
    </w:p>
    <w:p>
      <w:r>
        <w:rPr>
          <w:b/>
        </w:rPr>
        <w:t>E. 6</w:t>
      </w:r>
    </w:p>
    <w:p>
      <w:r>
        <w:t>Zusammenfassend erweist sich die Beschwerde damit als unbegründet, weshalb ist abzuweisen ist.</w:t>
      </w:r>
    </w:p>
    <w:p>
      <w:r>
        <w:rPr>
          <w:b/>
        </w:rPr>
        <w:t>E. 7</w:t>
      </w:r>
    </w:p>
    <w:p>
      <w:r>
        <w:t>Bei diesem Ausgang des Verfahrens hat der Beschwerdeführer die Gerichts- kosten zu tragen (Art. 428 Abs. 1 StPO). Die Gerichtsgebühr ist auf Fr. 2'000.-- festzusetzen (Art. 73 StBOG und Art. 5 und 8 Abs. 1 BStKR).</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