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BB.2021.59 vom 18. März 2021</w:t>
      </w:r>
    </w:p>
    <w:p>
      <w:r>
        <w:t>Bundesstrafgericht, 2021-03-18, DE</w:t>
      </w:r>
    </w:p>
    <w:p>
      <w:r>
        <w:rPr>
          <w:b/>
        </w:rPr>
        <w:t xml:space="preserve">Quelle: </w:t>
      </w:r>
      <w:r>
        <w:t>https://mcp.opencaselaw.ch/entscheid/bstger_BB.2021.59</w:t>
      </w:r>
    </w:p>
    <w:p>
      <w:r>
        <w:t>FR: TPF BB.2021.59 du 18 mars 2021</w:t>
      </w:r>
    </w:p>
    <w:p>
      <w:r>
        <w:t>IT: TPF BB.2021.59 del 18 marzo 2021</w:t>
      </w:r>
    </w:p>
    <w:p>
      <w:pPr>
        <w:pStyle w:val="Heading2"/>
      </w:pPr>
      <w:r>
        <w:t>Regeste</w:t>
      </w:r>
    </w:p>
    <w:p>
      <w:r>
        <w:t>Nichtanhandnahmeverfügung (Art. 310 i.V.m. Art. 322 StPO).</w:t>
      </w:r>
    </w:p>
    <w:p>
      <w:pPr>
        <w:pStyle w:val="Heading2"/>
      </w:pPr>
      <w:r>
        <w:t>Volltext</w:t>
      </w:r>
    </w:p>
    <w:p>
      <w:r>
        <w:t>Beschluss vom 18. März 2021 Beschwerdekammer Besetzung</w:t>
      </w:r>
    </w:p>
    <w:p>
      <w:r>
        <w:t>Bundesstrafrichter Roy Garré, Vorsitz, Miriam Forni und Patrick Robert-Nicoud, Gerichtsschreiberin Santina Pizzonia</w:t>
      </w:r>
    </w:p>
    <w:p>
      <w:r>
        <w:t>Parteien</w:t>
      </w:r>
    </w:p>
    <w:p>
      <w:r>
        <w:t>1. A., 2. B. AG,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BB.2021.59-60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 (SV.09.0135); bei der Strafkam- mer des Bundesstrafgerichts nach Anklageerhebung das Verfahren mit der Nummer […] eröffnet wurde;</w:t>
      </w:r>
    </w:p>
    <w:p>
      <w:r>
        <w:t>- A. und die B. AG, deren Verwaltungsratspräsident A. ist, mit Eingabe vom 29. Januar 2021 (und Nachtrag vom 1. sowie 8. Februar 2021) bei der Bun- desanwaltschaft eine Strafanzeige gegen Bundesstrafrichterin C. wegen «vorsätzlichen Verstosses und Unterlaufens die/der eidgenössischen und kantonalen COVID-19-Verordnung ….Irreführung der Rechtspflege, Amts- missbrauch, Urkundenfaelschung» einreichten (SV.21.0187);</w:t>
      </w:r>
    </w:p>
    <w:p>
      <w:r>
        <w:t>- A. und die B. AG zusammengefasst geltend machten, «die Beschuldigte hat mit der Ausstellung und Verteilung des beiliegenden Zirkularbeschlusses und Teilnehmerliste vom 21.1.21 FedPol Berichts, gegen die COVID-19 Schutzverordnung verstossen, Amtsmissbrauch begangen und hat sich fuer Irrefuerung der Rechtspflege und Urkundenfaelschung zu verantworten»;</w:t>
      </w:r>
    </w:p>
    <w:p>
      <w:r>
        <w:t>- gemäss den Beilagen zur Strafanzeige die angezeigte Bundesstrafrichterin mit ihren Schreiben vom 21. Januar 2021 den Antrag auf Verschiebung der Hauptverhandlung abwies; sie darin weiter festhielt, dass gemäss Art. 6 Abs. 1 lit. c der Verordnung über Massnahmen in der besonderen Lage zur Bekämpfung der Covid-19-Epidemie (Covid-19-Verordnung besondere Lage) vom 19. Juni 2020 (SR 818.101.26) Verhandlungen vor Gerichtsbe- hörden vom Verbot der Durchführung von Veranstaltungen ausgenommen sind; sie unter Hinweis auf das Schutzkonzept des Bundesstrafgerichts die konkreten Teilnehmer festlegte und die Sitzordnung mitteilte;</w:t>
      </w:r>
    </w:p>
    <w:p>
      <w:r>
        <w:t>- A und die B. AG namentlich vorbrachten, dass die Durchführung des Pro- zesses mit einer Teilnehmerzahl von 35 unter den geltenden Bedingungen ausgeschlossen gewesen wäre, wenn die angezeigte Bundesstrafrichterin vier Vertretern von Drittparteien die Teilnahme nicht verweigert hätte;</w:t>
      </w:r>
    </w:p>
    <w:p>
      <w:r>
        <w:t>- mit Nichtanhandnahmeverfügung vom 15. Februar 2021 die Bundesanwalt- schaft die Strafanzeige vom 29. Januar 2021 nicht anhand nahm (act. 1.1); die Zustellung an «A. c/o B. AG, […]» erfolgte,</w:t>
      </w:r>
    </w:p>
    <w:p>
      <w:r>
        <w:t>- dagegen A. (Beschwerdeführer 1) und die B. AG (Beschwerdeführerin 2) mit gemeinsamer Eingabe vom 27. Februar 2021 Beschwerde bei der Be- schwerdekammer des Bundesstrafgerichts erheben und die Aufhebung der</w:t>
      </w:r>
    </w:p>
    <w:p>
      <w:r>
        <w:t>- 3 -</w:t>
      </w:r>
    </w:p>
    <w:p>
      <w:r>
        <w:t>angefochtenen Verfügung beantragen (act. 1); mit Schreiben vom 14. März 2021 die Beschwerdeführer eine weitere Eingabe machen und diverse An- träge stellen (act. 4; act. 4.1);</w:t>
      </w:r>
    </w:p>
    <w:p>
      <w:r>
        <w:t>- die Verfahrensakten mit Schreiben vom 3. März 2021 von der Beschwerde- gegnerin angefordert wurden (act. 2), welche mit Schreiben vom 9. März 2021 eingereicht wurden (act. 3);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weiteren Eintretensvoraussetzungen angesichts des Verfahrensaus- gangs vorliegend offen bleiben können;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aus Sicht der Beschwerdegegnerin die Voraussetzungen für die Eröffnung eines Strafverfahrens mangels eines hinreichenden Tatverdachts eindeutig nicht erfüllt waren;</w:t>
      </w:r>
    </w:p>
    <w:p>
      <w:r>
        <w:t>- die Beschwerdegegnerin zur Begründung ihrer Nichtanhandnahmeverfü- gung ausführte, dass aus der Strafanzeige keine rechtsgenüglichen Hin- weise hervorgehen würden, welche den Schluss zuliessen, dass die ange- zeigte Bundesstrafrichterin ihre Amtsgewalt in irgendeiner Weise miss- braucht hätte;</w:t>
      </w:r>
    </w:p>
    <w:p>
      <w:r>
        <w:t>- die Beschwerdeführer der Beschwerdegegnerin zwar vorwerfen, die Anzeige nicht sorgfältig gelesen zu haben; sie vorbringen, die Begründung sei falsch, die Strafanzeige beziehe sich nicht auf ein Urteil, sondern auf dokumentierte Gesetzesverstösse der Bundesstrafrichterin; die Strafanzeige und Prozess-</w:t>
      </w:r>
    </w:p>
    <w:p>
      <w:r>
        <w:t>- 4 -</w:t>
      </w:r>
    </w:p>
    <w:p>
      <w:r>
        <w:t>akten würden ganz klare Beweise für die Verfehlungen und Gesetzeswider- handlungen enthalten; die angezeigte Bundesstrafrichterin habe sich als Vorsitzende über die Covid-19 Schutzbestimmungen hinweggesetzt, um auf Biegen und Brechen die Hauptverhandlung i.S. […] durchzuführen (act. 1 S. 3 f.);</w:t>
      </w:r>
    </w:p>
    <w:p>
      <w:r>
        <w:t>- weder der Strafanzeige noch der Beschwerde aber ein konkreter Sachver- halt entnommen werden kann, der in irgendeiner Art und Weise einen hinrei- chenden Tatverdacht gegen die angezeigte Person begründen könnte; bei dieser Sachlage sich ein Beizug der Strafakten […] erübrigt;</w:t>
      </w:r>
    </w:p>
    <w:p>
      <w:r>
        <w:t>- die Beschwerdegegnerin zu Recht keine Strafuntersuchung eröffnet hat;</w:t>
      </w:r>
    </w:p>
    <w:p>
      <w:r>
        <w:t>- damit die Beschwerde ohne Weiteres abzuweisen ist;</w:t>
      </w:r>
    </w:p>
    <w:p>
      <w:r>
        <w:t>- festzuhalten bleibt, dass die Zustellung der Nichtanhandnahmeverfügung an die von den Beschwerdeführern in der Strafanzeige selber angegebene ge- meinsame Adresse erfolgte;</w:t>
      </w:r>
    </w:p>
    <w:p>
      <w:r>
        <w:t>- der Umstand, dass für beide Beschwerdeführer ein Entscheid zugestellt wurde, wobei die Beschwerdeführerin 2 nach dem Adress-Zusatz „c/o“ auf- geführt wurde, vorliegend keine Weiterungen rechtfertigt;</w:t>
      </w:r>
    </w:p>
    <w:p>
      <w:r>
        <w:t>- bei diesem Ausgang des Verfahrens die Beschwerdeführer die Kosten zu tragen haben (Art. 428 Abs. 1 StPO);</w:t>
      </w:r>
    </w:p>
    <w:p>
      <w:r>
        <w:t>- diese auf das Fr. 2‘000.-- festzusetzen sind und den Beschwerdeführern un- ter solidarischer Haftung aufzuerlegen (Art. 73 StBOG und Art. 5 und 8 Abs. 1 BStrKR).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2'000.-- wird den Beschwerdeführern unter solida- rischer Haftung auferlegt.</w:t>
      </w:r>
    </w:p>
    <w:p>
      <w:r>
        <w:t>Bellinzona, 18. März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 AG - Bundesanwaltschaft - C., Bundesstrafrichterin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