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BB.2021.58 vom 18. März 2021</w:t>
      </w:r>
    </w:p>
    <w:p>
      <w:r>
        <w:t>Bundesstrafgericht, 2021-03-18, DE</w:t>
      </w:r>
    </w:p>
    <w:p>
      <w:r>
        <w:rPr>
          <w:b/>
        </w:rPr>
        <w:t xml:space="preserve">Quelle: </w:t>
      </w:r>
      <w:r>
        <w:t>https://mcp.opencaselaw.ch/entscheid/bstger_BB.2021.58</w:t>
      </w:r>
    </w:p>
    <w:p>
      <w:r>
        <w:t>FR: TPF BB.2021.58 du 18 mars 2021</w:t>
      </w:r>
    </w:p>
    <w:p>
      <w:r>
        <w:t>IT: TPF BB.2021.58 del 18 marzo 2021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Volltext</w:t>
      </w:r>
    </w:p>
    <w:p>
      <w:r>
        <w:t>Beschluss vom 18. März 2021 Beschwerdekammer Besetzung</w:t>
      </w:r>
    </w:p>
    <w:p>
      <w:r>
        <w:t>Bundesstrafrichter Roy Garré, Vorsitz, Miriam Forni und Patrick Robert-Nicoud, Gerichtsschreiberin Santina Pizzonia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BUNDESANWALTSCHAFT, B., a.o. Staatsanwalt des Bundes, 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BB.2021.58</w:t>
      </w:r>
    </w:p>
    <w:p>
      <w:r>
        <w:t>- 2 -</w:t>
      </w:r>
    </w:p>
    <w:p>
      <w:r>
        <w:t>Die Beschwerdekammer hält fest, dass:</w:t>
      </w:r>
    </w:p>
    <w:p>
      <w:r>
        <w:t>- die Bundesanwaltschaft seit mehreren Jahren eine Strafuntersuchung gegen A. wegen qualifizierter Geldwäscherei führte;</w:t>
      </w:r>
    </w:p>
    <w:p>
      <w:r>
        <w:t>- A. mit Eingabe vom 30. November 2020 bei der Bundesanwaltschaft eine Strafanzeige gegen die […] Staatsanwältin des Bundes C. wegen falscher Anschuldigung im Zusammenhang mit der Anklageschrift vom 25. März 2019 sowie gegen sie, den ehemaligen Bundesanwalt D. und die Bun- desstrafrichterin E. wegen Bildung einer kriminellen Organisation einreichte (Verfahrensakten Bundesanwaltschaft, Urk. 1 ff.);</w:t>
      </w:r>
    </w:p>
    <w:p>
      <w:r>
        <w:t>- die Aufsichtsbehörde über die Bundesanwaltschaft am 23. Dezember 2020 B. als ausserordentlichen Staatsanwalt des Bundes mit der Verfahrungsfüh- rung beauftragte;</w:t>
      </w:r>
    </w:p>
    <w:p>
      <w:r>
        <w:t>- mit Nichtanhandnahmeverfügung vom 12. Februar 2021 der a.o. Staatsan- walt des Bundes die Strafanzeige vom 30. November 2020 nicht anhand nahm (act. 1.1);</w:t>
      </w:r>
    </w:p>
    <w:p>
      <w:r>
        <w:t>- dagegen A. mit Eingabe vom 27. Februar 2021 Beschwerde bei der Be- schwerdekammer des Bundesstrafgerichts erhebt und die Aufhebung der angefochtenen Verfügung beantragt (act. 1);</w:t>
      </w:r>
    </w:p>
    <w:p>
      <w:r>
        <w:t>- die Verfahrensakten mit Schreiben vom 3. März 2021 von der Beschwerde- gegnerin angefordert wurden (act. 1), welche mit Schreiben vom 11. März 2021 (mit Eingang am 15. März 2021) eingereicht wurden (act. 3);</w:t>
      </w:r>
    </w:p>
    <w:p>
      <w:r>
        <w:t>- auf die Durchführung eines Schriftenwechsels verzichtet wurde (Art. 390 Abs. 2 StPO e contrario).</w:t>
      </w:r>
    </w:p>
    <w:p>
      <w:r>
        <w:t>Die Beschwerdekammer zieht in Erwägung, dass:</w:t>
      </w:r>
    </w:p>
    <w:p>
      <w:r>
        <w:t>- gegen Verfügungen und Verfahrenshandlungen der Bundesanwaltschaft bei der Beschwerdekammer des Bundesstrafgerichts Beschwerde erhoben wer- den kann (Art. 393 Abs. 1 lit. a StPO i.V.m. Art. 37 Abs. 1 StBOG);</w:t>
      </w:r>
    </w:p>
    <w:p>
      <w:r>
        <w:t>- die weiteren Eintretensvoraussetzungen angesichts des Verfahrensaus- gangs vorliegend offen bleiben können;</w:t>
      </w:r>
    </w:p>
    <w:p>
      <w:r>
        <w:t>- 3 -</w:t>
      </w:r>
    </w:p>
    <w:p>
      <w:r>
        <w:t>- gemäss Art. 309 Abs. 1 lit. a StPO für die Eröffnung einer Untersuchung ein hinreichender Tatverdacht verlangt wird, welcher sich aus den Informationen und Berichten der Polizei, aus der Strafanzeige oder aus eigenen Feststel- lungen der Staatsanwaltschaft ergeben kann;</w:t>
      </w:r>
    </w:p>
    <w:p>
      <w:r>
        <w:t>- sich der falschen Anschuldigung gemäss Art. 303 StGB schuldig macht, wer einen Nichtschuldigen wider besseres Wissens bei einer Behörde eines Ver- brechens oder Vergehens beschuldigt, in der Absicht, eine Strafverfolgung gegen ihn herbeizuführen;</w:t>
      </w:r>
    </w:p>
    <w:p>
      <w:r>
        <w:t>- die Beschwerdegegnerin zur Begründung ihrer Nichtanhandnahmeverfü- gung ausführte, dass mit einer Anklageschrift ganz offensichtlich nicht die Herbeiführung einer Strafverfolgung beabsichtigt werde, sondern die richter- liche Beurteilung eines möglichen strafbaren Verhaltens des Angeklagten (act. 1.1 S. 2);</w:t>
      </w:r>
    </w:p>
    <w:p>
      <w:r>
        <w:t>- die Beschwerdegegnerin weiter erwog, dass es sich bei den beanzeigten Personen um Mitglieder rechtsstaatlicher Institutionen handle und ganz of- fensichtlich nicht um Mitglieder einer kriminellen Organisation im Sinne von Art. 260ter StGB (act. 1.1 S.2);</w:t>
      </w:r>
    </w:p>
    <w:p>
      <w:r>
        <w:t>- der Beschwerdeführer der Beschwerdegegnerin vorwirft, seine Anzeige nicht studiert zu haben; er geltend macht, vorsätzliche falsche Anschuldigungen in eine Anklageschrift aufzunehmen, sei ein Straftatbestand gemäss StGB; gemäss dem Beschwerdeführer nicht ausgeschlossen sei, dass Bundesbe- amte eine kriminelle Organisation bilden könnten; er vorbringt, die Strafan- zeige und Prozessakten würden ganz klare Beweise für die Verfehlungen und Gesetzeswiderhandlungen enthalten (act. 1 S. 3 f.);</w:t>
      </w:r>
    </w:p>
    <w:p>
      <w:r>
        <w:t>- es sich bei den beanzeigten Personen um Mitglieder rechtsstaatlicher Insti- tutionen der Eidgenossenschaft handelt, welche im Rahmen ihrer amtlichen Funktion im Strafverfahren gegen den Beschwerdeführer tätig wurden; der Vorwurf der Beteiligung an einer kriminellen Organisation verwegen ist und sich Weiterungen erübrigen;</w:t>
      </w:r>
    </w:p>
    <w:p>
      <w:r>
        <w:t>- der Strafanzeige samt Beilagen des Beschwerdeführers kein konkreter Sachverhalt entnommen werden kann, der in irgendeiner Art und Weise ei- nen hinreichenden Tatverdacht gegen die angezeigten Personen begründen könnte; dies namentlich für die von ihm geltend gemachten Unterlassungen seitens der angezeigten Personen gilt;</w:t>
      </w:r>
    </w:p>
    <w:p>
      <w:r>
        <w:t>- 4 -</w:t>
      </w:r>
    </w:p>
    <w:p>
      <w:r>
        <w:t>- der Beschwerdeführer in seiner Beschwerde nicht konkret darlegt, inwiefern die Beschwerdegegnerin zu Unrecht die Nichtanhandnahme der Strafsache verfügt haben soll;</w:t>
      </w:r>
    </w:p>
    <w:p>
      <w:r>
        <w:t>- sich der Beizug der Strafakten […] bei dieser Sachlage erübrigt;</w:t>
      </w:r>
    </w:p>
    <w:p>
      <w:r>
        <w:t>- die Beschwerdegegnerin zu Recht keine Strafuntersuchung eröffnet hat;</w:t>
      </w:r>
    </w:p>
    <w:p>
      <w:r>
        <w:t>- sich bereits aus diesem Grund die vom Beschwerdeführer aus der Nichtan- handnahme gefolgerten Vorwürfe der Arbeitsverweigerung, Gehörsverlet- zung etc. gegen die Beschwerdegegnerin als unbegründet erweisen;</w:t>
      </w:r>
    </w:p>
    <w:p>
      <w:r>
        <w:t>- damit die Beschwerde ohne Weiteres abzuweisen ist;</w:t>
      </w:r>
    </w:p>
    <w:p>
      <w:r>
        <w:t>- bei diesem Ausgang des Verfahrens der Beschwerdeführer die Kosten zu tragen hat (Art. 428 Abs. 1 StPO);</w:t>
      </w:r>
    </w:p>
    <w:p>
      <w:r>
        <w:t>- diese auf Fr. 2‘000.-- festzusetzen sind (Art. 73 StBOG und Art. 5 und 8 Abs. 1 BStrKR).</w:t>
      </w:r>
    </w:p>
    <w:p>
      <w:r>
        <w:t>- 5 -</w:t>
      </w:r>
    </w:p>
    <w:p>
      <w:r>
        <w:t>Demnach erkennt die Beschwerdekammer:</w:t>
      </w:r>
    </w:p>
    <w:p>
      <w:r>
        <w:t>1. Die Beschwerde wird abgewiesen.</w:t>
      </w:r>
    </w:p>
    <w:p>
      <w:r>
        <w:t>2. Die Gerichtsgebühr von Fr. 2'000.-- wird dem Beschwerdeführer auferlegt.</w:t>
      </w:r>
    </w:p>
    <w:p>
      <w:r>
        <w:t>Bellinzona, 18. März 2021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A., - B., a.o. Staatsanwalt des Bundes - C., Staatsanwältin des Bundes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