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BB.2021.56 vom 18. März 2021</w:t>
      </w:r>
    </w:p>
    <w:p>
      <w:r>
        <w:t>Bundesstrafgericht, 2021-03-18, DE</w:t>
      </w:r>
    </w:p>
    <w:p>
      <w:r>
        <w:rPr>
          <w:b/>
        </w:rPr>
        <w:t xml:space="preserve">Quelle: </w:t>
      </w:r>
      <w:r>
        <w:t>https://mcp.opencaselaw.ch/entscheid/bstger_BB.2021.56</w:t>
      </w:r>
    </w:p>
    <w:p>
      <w:r>
        <w:t>FR: TPF BB.2021.56 du 18 mars 2021</w:t>
      </w:r>
    </w:p>
    <w:p>
      <w:r>
        <w:t>IT: TPF BB.2021.56 del 18 marzo 2021</w:t>
      </w:r>
    </w:p>
    <w:p>
      <w:pPr>
        <w:pStyle w:val="Heading2"/>
      </w:pPr>
      <w:r>
        <w:t>Regeste</w:t>
      </w:r>
    </w:p>
    <w:p>
      <w:r>
        <w:t>Nichtanhandnahmeverfügung (Art. 310 i.V.m. Art. 322 StPO).</w:t>
      </w:r>
    </w:p>
    <w:p>
      <w:pPr>
        <w:pStyle w:val="Heading2"/>
      </w:pPr>
      <w:r>
        <w:t>Volltext</w:t>
      </w:r>
    </w:p>
    <w:p>
      <w:r>
        <w:t>Beschluss vom 18. März 2021 Beschwerdekammer Besetzung</w:t>
      </w:r>
    </w:p>
    <w:p>
      <w:r>
        <w:t>Bundesstrafrichter Roy Garré, Vorsitz, Miriam Forni und Patrick Robert-Nicoud, Gerichtsschreiberin Santina Pizzonia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BUNDESANWALTSCHAFT, B., a.o. Staatsanwalt des Bundes, 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BB.2021.56</w:t>
      </w:r>
    </w:p>
    <w:p>
      <w:r>
        <w:t>- 2 -</w:t>
      </w:r>
    </w:p>
    <w:p>
      <w:r>
        <w:t>Die Beschwerdekammer hält fest, dass:</w:t>
      </w:r>
    </w:p>
    <w:p>
      <w:r>
        <w:t>- die Bundesanwaltschaft seit mehreren Jahren eine Strafuntersuchung gegen A. wegen qualifizierter Geldwäscherei führte;</w:t>
      </w:r>
    </w:p>
    <w:p>
      <w:r>
        <w:t>- A. mit Eingabe vom 9. Juni 2017 bei der Bundesanwaltschaft eine Strafan- zeige gegen die […] Staatsanwältin des Bundes C. wegen «vorsätzlicher Amtsgeheimnisverletzung, Kollusion und konzentrierter Entgegennahme ei- ner völlig haltlosen und unfundierten Strafanzeige» einreichte (Verfahrens- akten Bundesanwaltschaft, Urk. 1);</w:t>
      </w:r>
    </w:p>
    <w:p>
      <w:r>
        <w:t>- A. in der Anzeige C. im Wesentlichen vorwirft, sie habe sich der Verletzung des Amtsgeheimnisses schuldig gemacht, indem sie die Strafanzeige von Rechtsanwalt D. vom 16. Dezember 2016 gegen ihn entgegengenommen habe;</w:t>
      </w:r>
    </w:p>
    <w:p>
      <w:r>
        <w:t>- die Aufsichtsbehörde über die Bundesanwaltschaft am 13. Juli 2017 B. als ausserordentlichen Staatsanwalt des Bundes mit der Verfahrungsführung beauftragte;</w:t>
      </w:r>
    </w:p>
    <w:p>
      <w:r>
        <w:t>- mit Nichtanhandnahmeverfügung vom 12. Februar 2021 der a.o. Staatsan- walt des Bundes die Strafanzeige vom 9. Juni 2017 nicht anhand nahm (act. 1.1);</w:t>
      </w:r>
    </w:p>
    <w:p>
      <w:r>
        <w:t>- dagegen A. mit Eingabe vom 27. Februar 2021 Beschwerde bei der Be- schwerdekammer des Bundesstrafgerichts erhebt und die Aufhebung der angefochtenen Verfügung beantragt (act. 1);</w:t>
      </w:r>
    </w:p>
    <w:p>
      <w:r>
        <w:t>- die Verfahrensakten mit Schreiben vom 3. März 2021 von der Beschwerde- gegnerin angefordert wurden (act. 2), welche mit Schreiben vom 11. März 2021 (mit Eingang vom 15. März 2021) eingereicht wurden (act. 3);</w:t>
      </w:r>
    </w:p>
    <w:p>
      <w:r>
        <w:t>- auf die Durchführung eines Schriftenwechsels verzichtet wurde (Art. 390 Abs. 2 StPO e contrario).</w:t>
      </w:r>
    </w:p>
    <w:p>
      <w:r>
        <w:t>Die Beschwerdekammer zieht in Erwägung, dass:</w:t>
      </w:r>
    </w:p>
    <w:p>
      <w:r>
        <w:t>- gegen Verfügungen und Verfahrenshandlungen der Bundesanwaltschaft bei der Beschwerdekammer des Bundesstrafgerichts Beschwerde erhoben wer- den kann (Art. 393 Abs. 1 lit. a StPO i.V.m. Art. 37 Abs. 1 StBOG);</w:t>
      </w:r>
    </w:p>
    <w:p>
      <w:r>
        <w:t>- 3 -</w:t>
      </w:r>
    </w:p>
    <w:p>
      <w:r>
        <w:t>- die weiteren Eintretensvoraussetzungen angesichts des Verfahrensaus- gangs vorliegend offen bleiben können;</w:t>
      </w:r>
    </w:p>
    <w:p>
      <w:r>
        <w:t>- gemäss Art. 309 Abs. 1 lit. a StPO für die Eröffnung einer Untersuchung ein hinreichender Tatverdacht verlangt wird, welcher sich aus den Informationen und Berichten der Polizei, aus der Strafanzeige oder aus eigenen Feststel- lungen der Staatsanwaltschaft ergeben kann;</w:t>
      </w:r>
    </w:p>
    <w:p>
      <w:r>
        <w:t>- die Beschwerdegegnerin zur Begründung ihrer Nichtanhandnahmeverfü- gung ausführte, dass durch die Entgegennahme einer Strafanzeige ganz of- fensichtlich keine Verletzung des Amtsgeheimnisses im Sinne von Art. 320 StGB begangen werde, da gestützt auf das Legalitätsprinzip seitens der Strafverfolgungsbehörden vielmehr die Pflicht bestehe, eine solche anzu- nehmen (act. 1.1);</w:t>
      </w:r>
    </w:p>
    <w:p>
      <w:r>
        <w:t>- der Beschwerdeführer der Beschwerdegegnerin zwar vorwirft, seine Anzeige nicht sorgfältig gelesen zu haben; er geltend macht, C. habe gewusst, dass es sich bei der Strafanzeige von Rechtsanwalt D. um vorsätzliche Falschbe- schuldigungen gehandelt habe; er vorbringt, die Strafanzeige und Prozess- akten ganz klare Beweise für die Verfehlungen und Gesetzeswiderhandlun- gen enthalten würden (act. 1 S. 3 f.);</w:t>
      </w:r>
    </w:p>
    <w:p>
      <w:r>
        <w:t>- der Beschwerdeführer allerdings nichts vorlegt, was seine Unterstellungen stützen würde, weder in seiner Strafanzeige noch in seiner Beschwerde;</w:t>
      </w:r>
    </w:p>
    <w:p>
      <w:r>
        <w:t>- seinen Eingaben kein konkreter Sachverhalt entnommen werden kann, der in irgendeiner Art und Weise einen hinreichenden Tatverdacht gegen die an- gezeigte Person begründen könnte;</w:t>
      </w:r>
    </w:p>
    <w:p>
      <w:r>
        <w:t>- bei dieser Sachlage sich auch sein Hinweis auf die Strafakten […] nicht als weiterführend erweisen kann, weshalb sich deren Beizug erübrigt;</w:t>
      </w:r>
    </w:p>
    <w:p>
      <w:r>
        <w:t>- dementsprechend den Erwägungen der Beschwerdegegnerin in der ange- fochtenen Verfügung vollumfänglich zuzustimmen ist;</w:t>
      </w:r>
    </w:p>
    <w:p>
      <w:r>
        <w:t>- die Beschwerdegegnerin zu Recht keine Strafuntersuchung eröffnet hat;</w:t>
      </w:r>
    </w:p>
    <w:p>
      <w:r>
        <w:t>- bereits aus diesem Grund sich die vom Beschwerdeführer aus der Nichtan- handnahme gefolgerten Vorwürfe der Arbeitsverweigerung, Gehörsverlet- zung etc. gegen die Beschwerdegegnerin als unbegründet erweisen;</w:t>
      </w:r>
    </w:p>
    <w:p>
      <w:r>
        <w:t>- 4 -</w:t>
      </w:r>
    </w:p>
    <w:p>
      <w:r>
        <w:t>- damit die Beschwerde ohne Weiteres abzuweisen ist;</w:t>
      </w:r>
    </w:p>
    <w:p>
      <w:r>
        <w:t>- bei diesem Ausgang des Verfahrens der Beschwerdeführer die Kosten zu tragen hat (Art. 428 Abs. 1 StPO);</w:t>
      </w:r>
    </w:p>
    <w:p>
      <w:r>
        <w:t>- diese auf Fr. 2‘000.-- festzusetzen sind (Art. 73 StBOG und Art. 5 und 8 Abs. 1 BStrKR).</w:t>
      </w:r>
    </w:p>
    <w:p>
      <w:r>
        <w:t>- 5 -</w:t>
      </w:r>
    </w:p>
    <w:p>
      <w:r>
        <w:t>Demnach erkennt die Beschwerdekammer:</w:t>
      </w:r>
    </w:p>
    <w:p>
      <w:r>
        <w:t>1. Die Beschwerde wird abgewiesen.</w:t>
      </w:r>
    </w:p>
    <w:p>
      <w:r>
        <w:t>2. Die Gerichtsgebühr von Fr. 2'000.-- wird dem Beschwerdeführer auferlegt.</w:t>
      </w:r>
    </w:p>
    <w:p>
      <w:r>
        <w:t>Bellinzona, 18. März 2021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B., a.o. Staatsanwalt des Bundes - C., Staatsanwältin des Bundes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