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BB.2021.53 vom 5. Mai 2021</w:t>
      </w:r>
    </w:p>
    <w:p>
      <w:r>
        <w:t>Bundesstrafgericht, 2021-05-05, DE</w:t>
      </w:r>
    </w:p>
    <w:p>
      <w:r>
        <w:rPr>
          <w:b/>
        </w:rPr>
        <w:t xml:space="preserve">Quelle: </w:t>
      </w:r>
      <w:r>
        <w:t>https://mcp.opencaselaw.ch/entscheid/bstger_BB.2021.53</w:t>
      </w:r>
    </w:p>
    <w:p>
      <w:r>
        <w:t>FR: TPF BB.2021.53 du 5 mai 2021</w:t>
      </w:r>
    </w:p>
    <w:p>
      <w:r>
        <w:t>IT: TPF BB.2021.53 del 5 maggio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Februar 2021 geltend macht, es liege eine Wiederholungstat vor, welche schwerer zu werten sei als der erste Verstoss (act. 1 S. 3); die Strafanzeige und Prozessakten würden ganz klare Beweise für die Verfehlungen und Ge- setzeswiderhandlungen enthalten (act. 1 S. 4); er die reaktive Information durch die angezeigten Personen kritisiert; er seine Persönlichkeitsrechte der Öffentlichkeitsarbeit der Beschwerdegegnerin entgegenstellt und sinnge- mäss die Verhältnismässigkeit des Entscheides in Abrede stellt, wobei er konkret bemängelt, erst von der Presse über die Anklage erfahren zu haben (act. 6 S. 2);</w:t>
      </w:r>
    </w:p>
    <w:p>
      <w:r>
        <w:t>- in der Nichtanhandnahmeverfügung vom 9. Oktober 2017 im Einzelnen dar- gelegt wurde, weshalb das Strafverfahren gegen den Beschwerdeführer kein Geheimnis mehr im Sinne von Art. 320 Ziff. 1 Abs.1 StGB darstellt;</w:t>
      </w:r>
    </w:p>
    <w:p>
      <w:r>
        <w:t>- der Beschwerdeführer weder in seiner Beschwerde noch in deren Ergän- zung Argumente hervorbringt, die – wie in der Nichtanhandnahmeverfügung vom 9. Oktober 2017 festgehalten – die vorgängige Veröffentlichung und die mangelnde Geheimniseigenschaft der Information in Abrede stellen;</w:t>
      </w:r>
    </w:p>
    <w:p>
      <w:r>
        <w:t>- das Vorbringen des Beschwerdeführers, es liege eine „wiederholte“ und da- her schwerwiegendere Tatbegehung vor, die Begründung der Beschwerde- gegnerin zum fehlenden hinreichenden Tatverdacht der Amtsgeheimnisver- letzung nicht zu erschüttern vermag;</w:t>
      </w:r>
    </w:p>
    <w:p>
      <w:r>
        <w:t>- die Beschwerdegegnerin demnach zu Recht keine Strafuntersuchung eröff- net hat;</w:t>
      </w:r>
    </w:p>
    <w:p>
      <w:r>
        <w:t>- 9 -</w:t>
      </w:r>
    </w:p>
    <w:p>
      <w:r>
        <w:t>- bei dieser Sachlage sich ein Beizug weiterer Akten erübrigt;</w:t>
      </w:r>
    </w:p>
    <w:p>
      <w:r>
        <w:t>- bei Verfügung einer Nichtanhandnahme keine Untersuchung eröffnet wird, weshalb das Fehlen von Untersuchungshandlungen nicht zu beanstanden ist (vgl. Art. 309-310 StPO);</w:t>
      </w:r>
    </w:p>
    <w:p>
      <w:r>
        <w:t>- damit die Beschwerde ohne Weiteres abzuweisen ist;</w:t>
      </w:r>
    </w:p>
    <w:p>
      <w:r>
        <w:t>- bei diesem Ausgang des Verfahrens der Beschwerdeführer die Kosten zu tragen hat (Art. 428 Abs. 1 StPO); die allfällige Gehörsverletzung durch die Vorinstanz aufgrund der gesamten Umstände keine Reduktion der Gerichts- gebühr rechtfertigt;</w:t>
      </w:r>
    </w:p>
    <w:p>
      <w:r>
        <w:t>- diese auf das Fr. 2‘000.-- festzusetzen ist (Art. 73 StBOG und Art. 5 und 8 Abs. 1 BStrKR).</w:t>
      </w:r>
    </w:p>
    <w:p>
      <w:r>
        <w:t>- 10 -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