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BB.2021.41 vom 16. Februar 2021</w:t>
      </w:r>
    </w:p>
    <w:p>
      <w:r>
        <w:t>Bundesstrafgericht, 2021-02-16, DE</w:t>
      </w:r>
    </w:p>
    <w:p>
      <w:r>
        <w:rPr>
          <w:b/>
        </w:rPr>
        <w:t xml:space="preserve">Quelle: </w:t>
      </w:r>
      <w:r>
        <w:t>https://mcp.opencaselaw.ch/entscheid/bstger_BB.2021.41</w:t>
      </w:r>
    </w:p>
    <w:p>
      <w:r>
        <w:t>FR: TPF BB.2021.41 du 16 février 2021</w:t>
      </w:r>
    </w:p>
    <w:p>
      <w:r>
        <w:t>IT: TPF BB.2021.41 del 16 febbraio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Tage ihres Lebens für diese Auffindung geopfert und sei nach solch langer Zeit der Nachforschungen kein Jota weitergekommen; sie bei der Bundesan-</w:t>
      </w:r>
    </w:p>
    <w:p>
      <w:r>
        <w:t>- 3 -</w:t>
      </w:r>
    </w:p>
    <w:p>
      <w:r>
        <w:t>waltschaft den Antrag stellte, ihre Anzeige auf deren Wahrheitsgehalt zu prü- fen, falls sich etwas aus ihrer jahrelangen Arbeit diesbezüglich als brauchbar erweise (Verfahrensakten Lasche 1 S. 6, 7, 8);</w:t>
      </w:r>
    </w:p>
    <w:p>
      <w:r>
        <w:t>- weder der Strafanzeige der Beschwerdeführerin noch den Beilagen ein kon- kreter Sachverhalt entnommen werden kann, der in irgendeiner Art und Weise einen hinreichenden Tatverdacht gegen C. begründen könnte;</w:t>
      </w:r>
    </w:p>
    <w:p>
      <w:r>
        <w:t>- die Beschwerdeführerin in ihrer Beschwerde und ergänzender Eingabe, je- weils samt Beilagen, auch nicht darlegt, inwiefern die Beschwerdegegnerin zu Unrecht die Nichtanhandnahme der Strafsache verfügt haben soll;</w:t>
      </w:r>
    </w:p>
    <w:p>
      <w:r>
        <w:t>- die Beschwerdegegnerin die Strafanzeige der Beschwerdeführerin geprüft und zu Recht keine Strafuntersuchung eröffnet hat;</w:t>
      </w:r>
    </w:p>
    <w:p>
      <w:r>
        <w:t>- damit die Beschwerde ohne Weiteres abzuweisen ist;</w:t>
      </w:r>
    </w:p>
    <w:p>
      <w:r>
        <w:t>- bei diesem Ausgang des Verfahrens die Beschwerdeführerin die Kosten zu tragen hat (Art. 428 Abs. 1 StPO);</w:t>
      </w:r>
    </w:p>
    <w:p>
      <w:r>
        <w:t>- diese auf das gesetzliche und reglementarische Minimum von Fr. 200.-- fest- zusetzen sind (Art. 73 StBOG und Art. 5 und 8 Abs. 1 BStrKR).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