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BB.2021.260 vom 17. November 2022</w:t>
      </w:r>
    </w:p>
    <w:p>
      <w:r>
        <w:t>Bundesstrafgericht, 2022-11-17, DE</w:t>
      </w:r>
    </w:p>
    <w:p>
      <w:r>
        <w:rPr>
          <w:b/>
        </w:rPr>
        <w:t xml:space="preserve">Quelle: </w:t>
      </w:r>
      <w:r>
        <w:t>https://mcp.opencaselaw.ch/entscheid/bstger_BB.2021.260</w:t>
      </w:r>
    </w:p>
    <w:p>
      <w:r>
        <w:t>FR: TPF BB.2021.260 du 17 novembre 2022</w:t>
      </w:r>
    </w:p>
    <w:p>
      <w:r>
        <w:t>IT: TPF BB.2021.260 del 17 novembre 2022</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einzureichen (Art. 396 Abs. 1 StPO). Die Frist für die Beschwerde beginnt mit der Eröff- nung des schriftlich begründeten Entscheids (BGE 143 IV 40 E. 3.4.4). Mit der Beschwerde können gemäss Art. 393 Abs. 2 StPO Rechtsverletzun- gen gerügt werden, einschliesslich Überschreitung und Missbrauch des Er- messens, Rechtsverweigerung und Rechtsverzögerung (lit. a), die unvoll- ständige oder unrichtige Feststellung des Sachverhalts (lit. b) sowie die Un- angemessenheit (lit. c).</w:t>
      </w:r>
    </w:p>
    <w:p>
      <w:r>
        <w:rPr>
          <w:b/>
        </w:rPr>
        <w:t>E. 1.2</w:t>
      </w:r>
    </w:p>
    <w:p>
      <w:r>
        <w:t>Der Streitwert des vorliegenden Verfahrens besteht in der Differenz zwi- schen der im Entscheid des Appellationsgerichts vom 29. Oktober 2021 zu- gesprochenen Fr. 861.60.-- und der mit Honorarnote in Rechnung gestellten und sinngemäss im hiesigen Beschwerdeverfahren beantragten Fr. 6'128.35. Er beträgt somit Fr. 5‘266.75. Liegt der Streitwert über die ge- setzliche Grenze von Fr. 5'000.--, ist die Beschwerde in Dreierbesetzung zu beurteilen (Art. 395 lit. b StPO und Art. 38 StBOG).</w:t>
      </w:r>
    </w:p>
    <w:p>
      <w:r>
        <w:t>- 5 -</w:t>
      </w:r>
    </w:p>
    <w:p>
      <w:r>
        <w:rPr>
          <w:b/>
        </w:rPr>
        <w:t>E. 1.3</w:t>
      </w:r>
    </w:p>
    <w:p>
      <w:r>
        <w:t>Die Beschwerdeführerin erhielt von der Vorinstanz als amtliche Verteidigerin eine tiefere Entschädigung zugesprochen, als sie später beantragt hat. Sie ist zur vorliegenden Beschwerde legitimiert.</w:t>
      </w:r>
    </w:p>
    <w:p>
      <w:r>
        <w:rPr>
          <w:b/>
        </w:rPr>
        <w:t>E. 1.4</w:t>
      </w:r>
    </w:p>
    <w:p>
      <w:r>
        <w:t>Die Verteidigung hat die Beschwerde in der Hauptsache im Namen des Kli- enten und im Honorarpunkt in eigenem Namen in einem einzigen Schriftsatz beim Bundesgericht in der für Beschwerden ans Bundesgericht geltenden Frist von 30 Tagen eingereicht, jedoch verspätet mit Blick auf die Be- schwerde ans Bundesstrafgericht und überdies im Honorarpunkt, entgegen der Rechtsmittelbelehrung, auch bei der falschen Behörde. Sie beruft sich dafür weder explizit noch implizit auf die Rechtsprechung zu Konstellationen einschlägig zweifelhafter Kompetenzabgrenzung zwischen Bundesgericht und Bundesstrafgericht. Die einzige im Zusammenhang mit der Honorarbe- schwerde genannte Referenz zur bundesgerichtlichen Rechtsprechung ist genereller Natur und hat keinen Bezug zur Zuständigkeitsfrage. Die Vertei- digung gibt keine Erklärung dafür, weshalb sie nicht gemäss Art. 135 Abs. 3 lit. b StPO und – dementsprechend korrekter – Rechtsmittelbelehrung des Appellationsgerichts vorgegangen ist und sie stellt auch kein Gesuch um Wiederherstellung der Frist. Auch der Beschwerdereplik sind keine Erklärun- gen dazu zu entnehmen. Die Beschwerde ist verspätet erfolgt. Es ist daher nicht auf sie einzutreten.</w:t>
      </w:r>
    </w:p>
    <w:p>
      <w:r>
        <w:rPr>
          <w:b/>
        </w:rPr>
        <w:t>E. 2</w:t>
      </w:r>
    </w:p>
    <w:p>
      <w:r>
        <w:t>Die Beschwerde wäre im Übrigen abzuweisen, wenn darauf eingetreten würde:</w:t>
      </w:r>
    </w:p>
    <w:p>
      <w:r>
        <w:rPr>
          <w:b/>
        </w:rPr>
        <w:t>E. 2.1</w:t>
      </w:r>
    </w:p>
    <w:p>
      <w:r>
        <w:t>Die Beschwerdeführerin setzt sich in ihrer Eingabe beim Bundesgericht, die hier zuständigkeitshalber zu beurteilen ist, inhaltlich nicht mit dem Entscheid des Appellationsgerichts auseinander, sondern verlangt lediglich die Zuspre- chung eines angemessenen Honorars für das ganze Haftprüfungsverfahren. Mit dem angefochtenen Entscheid setzt sie sich erst in der Replik auseinan- der. Da es sich dabei nicht um Noven handelt, sondern lediglich um eine nachträgliche Begründung der Beschwerde, wäre darauf bereits aus diesem Grund nicht einzutreten.</w:t>
      </w:r>
    </w:p>
    <w:p>
      <w:r>
        <w:rPr>
          <w:b/>
        </w:rPr>
        <w:t>E. 2.2</w:t>
      </w:r>
    </w:p>
    <w:p>
      <w:r>
        <w:t>Die Überlegungen sind im Übrigen auch nicht zielführend: Die Beschwerde- führerin rügt den Umstand, dass ihr nicht das ganze Honorar gemäss erst nach dem Entscheid des Appellationsgerichts bei der Staatsanwaltschaft eingereichten Honorarnote zugesprochen worden ist. Sie verkennt dabei, dass sie vom Appellationsgericht nur für ihre – mangels Honorarnote vom Gericht geschätzten – Aufwendungen im Beschwerdeverfahren entschädigt worden ist. Die Aufwendungen im Zusammenhang mit dem</w:t>
      </w:r>
    </w:p>
    <w:p>
      <w:r>
        <w:t>- 6 -</w:t>
      </w:r>
    </w:p>
    <w:p>
      <w:r>
        <w:t>Haftentlassungsgesuch beim Zwangsmassnahmengericht werden in Basel- Stadt offensichtlich mit der Hauptsache, d.h. mit der Entschädigung für die Arbeit der Verteidigung im Hauptverfahren, abgegolten und sind auch dort in Rechnung zu stellen. Konkludent scheint die Beschwerdeführerin selbst da- von auszugehen, indem sie ihre Honorarnote bei der verfahrensführenden Staatsanwaltschaft eingereicht hat und nicht beim Appellationsgericht. Inso- weit die Beschwerdeführerin ihre diesbezüglichen Aufwendungen noch gel- tend machen kann, ist sie durch den Entscheid des Appellationsgerichts in ihren Interessen gar nicht tangiert. Die mit der Replik erhobene Einwendung betreffend Devolutiveffekt änderte daran nichts, wenn sie überhaupt berück- sichtigt werden könnte.</w:t>
      </w:r>
    </w:p>
    <w:p>
      <w:r>
        <w:rPr>
          <w:b/>
        </w:rPr>
        <w:t>E. 2.3</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Basel-Stadt ist das die Honorarordnung für Anwältinnen und Anwälte vom 16. Juni 2020 (SG 291.400). Die Beschwerdeführerin hat beim Appel- lationsgericht keine Honorarnote eingereicht, und sie bei der Staatsanwalt- schaft eingereicht erst nach drei Wochen nachdem der Entscheid des Appellationsgerichts ergangen war. In einem Haftbeschwerdeverfahren musste sie davon ausgehen, dass das Gericht nach Eingang ihrer Be- schwerdereplik ohne weiteres und im schriftlichen Verfahren entscheiden würde. Sie wäre also gehalten gewesen, ihre Aufwendungen für das Beschwerdeverfahren mit Einreichung der Replik geltend zu machen. Die Honorarordnung schliesst eine Schätzung des Aufwands nicht aus. Das Appellationsgericht durfte deshalb den Aufwand schätzen, ohne zur Einrei- chung einer Honorarnote einzuladen.</w:t>
      </w:r>
    </w:p>
    <w:p>
      <w:r>
        <w:rPr>
          <w:b/>
        </w:rPr>
        <w:t>E. 2.4</w:t>
      </w:r>
    </w:p>
    <w:p>
      <w:r>
        <w:t>Gestützt auf die Akten und insbesondere den geleisteten und andernorts ab- zugeltenden Vorbereitungen im Zusammenhang mit dem Gesuch beim Zwangsmassnahmengericht kommt das Appellationsgericht auf einen ge- schätzten Aufwand von dreieinhalb Stunden für das Beschwerdeverfahren. Diese Annahme erscheint nicht als willkürlich.</w:t>
      </w:r>
    </w:p>
    <w:p>
      <w:r>
        <w:rPr>
          <w:b/>
        </w:rPr>
        <w:t>E. 2.5</w:t>
      </w:r>
    </w:p>
    <w:p>
      <w:r>
        <w:t>Die Beschwerde wäre mithin abzuweisen, wenn darauf eingetreten würde.</w:t>
      </w:r>
    </w:p>
    <w:p>
      <w:r>
        <w:t>- 7 -</w:t>
      </w:r>
    </w:p>
    <w:p>
      <w:r>
        <w:rPr>
          <w:b/>
        </w:rPr>
        <w:t>E. 3</w:t>
      </w:r>
    </w:p>
    <w:p>
      <w:r>
        <w:t>Bei diesem Ausgang des Verfahrens hat die Beschwerdeführerin die Ge- richtskosten zu tragen (Art. 428 Abs. 1StPO). Die Gerichtsgebühr ist vorlie- gend auf Fr. 1‘000.-- festzusetzen (Art. 5 und 8 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