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BB.2021.259 vom 4. Januar 2022</w:t>
      </w:r>
    </w:p>
    <w:p>
      <w:r>
        <w:t>Bundesstrafgericht, 2022-01-04, DE</w:t>
      </w:r>
    </w:p>
    <w:p>
      <w:r>
        <w:rPr>
          <w:b/>
        </w:rPr>
        <w:t xml:space="preserve">Quelle: </w:t>
      </w:r>
      <w:r>
        <w:t>https://mcp.opencaselaw.ch/entscheid/bstger_BB.2021.259</w:t>
      </w:r>
    </w:p>
    <w:p>
      <w:r>
        <w:t>FR: TPF BB.2021.259 du 4 janvier 2022</w:t>
      </w:r>
    </w:p>
    <w:p>
      <w:r>
        <w:t>IT: TPF BB.2021.259 del 4 gennaio 2022</w:t>
      </w:r>
    </w:p>
    <w:p>
      <w:pPr>
        <w:pStyle w:val="Heading2"/>
      </w:pPr>
      <w:r>
        <w:t>Regeste</w:t>
      </w:r>
    </w:p>
    <w:p>
      <w:r>
        <w:t>Entschädigung der amtlichen Verteidigung (Art. 135 Abs. 3 StPO)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März 2021 m.w.H.);</w:t>
      </w:r>
    </w:p>
    <w:p>
      <w:r>
        <w:t>- auf das verspätet erhobene Rechtsmittel daher nicht einzutreten ist;</w:t>
      </w:r>
    </w:p>
    <w:p>
      <w:r>
        <w:t>- bei diesem Ausgang des Verfahrens der Beschwerdeführer die Gerichtskos- ten zu tragen hat (vgl. Art. 428 Abs. 1 StPO);</w:t>
      </w:r>
    </w:p>
    <w:p>
      <w:r>
        <w:t>- die Gerichtsgebühr aufwandsgemäss im unteren Bereich, mithin auf Fr. 300.-- festzusetzen und dem Beschwerdeführer aufzuerlegen ist (vgl. Art. 73 StBOG und Art. 5 und Art. 8 Abs. 1 BStKR);</w:t>
      </w:r>
    </w:p>
    <w:p>
      <w:r>
        <w:t>- 7 -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