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BB.2021.234 vom 9. November 2021</w:t>
      </w:r>
    </w:p>
    <w:p>
      <w:r>
        <w:t>Bundesstrafgericht, 2021-11-09, DE</w:t>
      </w:r>
    </w:p>
    <w:p>
      <w:r>
        <w:rPr>
          <w:b/>
        </w:rPr>
        <w:t xml:space="preserve">Quelle: </w:t>
      </w:r>
      <w:r>
        <w:t>https://mcp.opencaselaw.ch/entscheid/bstger_BB.2021.234</w:t>
      </w:r>
    </w:p>
    <w:p>
      <w:r>
        <w:t>FR: TPF BB.2021.234 du 9 novembre 2021</w:t>
      </w:r>
    </w:p>
    <w:p>
      <w:r>
        <w:t>IT: TPF BB.2021.234 del 9 novembre 2021</w:t>
      </w:r>
    </w:p>
    <w:p>
      <w:pPr>
        <w:pStyle w:val="Heading2"/>
      </w:pPr>
      <w:r>
        <w:t>Regeste</w:t>
      </w:r>
    </w:p>
    <w:p>
      <w:r>
        <w:t>Einstellung des Verfahrens (Art. 322 Abs. 2 StPO); Amtliche Verteidigung im Beschwerdeverfahren (Art. 132 Abs. 1 lit. b StPO)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Juli 2011 E. 1.1; GRÄDEL/HEINIGER, Basler Kommentar, 2. Aufl. 2014, Art. 322 StPO N. 5);</w:t>
      </w:r>
    </w:p>
    <w:p>
      <w:r>
        <w:t>- die Beschwerde gegen schriftlich oder mündlich eröffnete Entscheide innert zehn Tagen schriftlich und begründet einzureichen ist (Art. 396 Abs. 1 StPO);</w:t>
      </w:r>
    </w:p>
    <w:p>
      <w:r>
        <w:t>- mit ihr Rechtsverletzungen gerügt werden können, einschliesslich Über- schreitung und Missbrauch des Ermessens, Rechtsverweigerung und Rechtsverzögerung (Art. 393 Abs. 2 lit. a StPO), wie auch die unvollständige oder unrichtige Feststellung des Sachverhalts (Art. 393 Abs. 2 lit. b StPO) und die Unangemessenheit (Art. 393 Abs. 2 lit. c StPO);</w:t>
      </w:r>
    </w:p>
    <w:p>
      <w:r>
        <w:t>- zur Beschwerde jede Partei oder jede andere Verfahrensbeteiligte mit einem rechtlich geschützten Interesse an der Aufhebung oder Änderung des ange- fochtenen Entscheides berechtigt ist (Art. 382 Abs. 1 i.V.m. Art. 105 Abs. 2 StPO);</w:t>
      </w:r>
    </w:p>
    <w:p>
      <w:r>
        <w:t>- 4 -</w:t>
      </w:r>
    </w:p>
    <w:p>
      <w:r>
        <w:t>- kein rechtlich geschütztes Interesse des Beschwerdeführers an der Aufhe- bung der Teileinstellung – auch nicht zwecks Gesamteinstellung – besteht;</w:t>
      </w:r>
    </w:p>
    <w:p>
      <w:r>
        <w:t>- wie dem Beschwerdeführer bereits aus dem Beschwerdeverfahren BB.2021.209 bekannt ist, auch kein Rechtsmittel gegen die Verweigerung einer Einstellung zur Verfügung steht (E. 1.2.2);</w:t>
      </w:r>
    </w:p>
    <w:p>
      <w:r>
        <w:t>- folgerichtig auch all seine Vorbringen im Zusammenhang mit den nicht ein- gestellten Vorwürfen vorliegend nicht zu prüfen sind;</w:t>
      </w:r>
    </w:p>
    <w:p>
      <w:r>
        <w:t>- sodann kein rechtlich geschütztes Interesse des Beschwerdeführers an die eventualiter beantragte Kostenauflage zu Lasten der Privatklägerin besteht;</w:t>
      </w:r>
    </w:p>
    <w:p>
      <w:r>
        <w:t>- auf seine Beschwerde mangels Beschwerdelegitimation offensichtlich nicht einzutreten ist; entsprechend auf die Gehörsrüge des Beschwerdeführers nicht einzugehen ist;</w:t>
      </w:r>
    </w:p>
    <w:p>
      <w:r>
        <w:t>- bei diesem Ausgang des Verfahrens das Gesuch des Beschwerdeführers um Gewährung der unentgeltlichen Rechtspflege und um amtliche Verteidi- gung im Beschwerdeverfahren ohne Überprüfung von dessen finanzieller Si- tuation wegen Aussichtslosigkeit abzuweisen ist (Art. 29 Abs. 3 BV; Urteil des Bundesgerichts 1B_705/2011 vom 9. Mai 2012 E. 2.3.2);</w:t>
      </w:r>
    </w:p>
    <w:p>
      <w:r>
        <w:t>- der unterliegende Beschwerdeführer nach dem Gesagten die Gerichtskos- ten zu tragen hat (Art. 428 Abs. 1 StPO); die Gerichtsgebühr auf Fr. 2'000.– festzusetzen ist (vgl. Art. 73 StBOG i.V.m. Art. 5 und 8 Abs. 1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