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BB.2021.210 vom 16. November 2022</w:t>
      </w:r>
    </w:p>
    <w:p>
      <w:r>
        <w:t>Bundesstrafgericht, 2022-11-16, DE</w:t>
      </w:r>
    </w:p>
    <w:p>
      <w:r>
        <w:rPr>
          <w:b/>
        </w:rPr>
        <w:t xml:space="preserve">Quelle: </w:t>
      </w:r>
      <w:r>
        <w:t>https://mcp.opencaselaw.ch/entscheid/bstger_BB.2021.210</w:t>
      </w:r>
    </w:p>
    <w:p>
      <w:r>
        <w:t>FR: TPF BB.2021.210 du 16 novembre 2022</w:t>
      </w:r>
    </w:p>
    <w:p>
      <w:r>
        <w:t>IT: TPF BB.2021.210 del 16 novembre 2022</w:t>
      </w:r>
    </w:p>
    <w:p>
      <w:pPr>
        <w:pStyle w:val="Heading2"/>
      </w:pPr>
      <w:r>
        <w:t>Regeste</w:t>
      </w:r>
    </w:p>
    <w:p>
      <w:r>
        <w:t>Einstellung des Verfahrens (Art. 322 Abs. 2 StPO); Nichtanhandnahmeverfügung (Art. 310 i.V.m. Art. 322 Abs. 2 StPO)</w:t>
      </w:r>
    </w:p>
    <w:p>
      <w:pPr>
        <w:pStyle w:val="Heading2"/>
      </w:pPr>
      <w:r>
        <w:t>Erwägungen</w:t>
      </w:r>
    </w:p>
    <w:p>
      <w:r>
        <w:rPr>
          <w:b/>
        </w:rPr>
        <w:t>E. 1.1</w:t>
      </w:r>
    </w:p>
    <w:p>
      <w:r>
        <w:t>Gegen die Einstellungsverfügung (Art. 322 Abs. 2 StPO i.V.m. Art. 37 Abs. 1 StBOG) und gegen die Nichtanhandnahmeverfügung der Bundesanwalt- schaft (Art. 310 Abs. 2 i.V.m. Art. 322 Abs. 2 StPO und Art. 37 Abs. 1 StBOG) ist die Beschwerde nach den Bestimmungen der Art. 393 ff. StPO an die Beschwerdekammer des Bundesstrafgerichts zulässig. Sie ist innert 10 Ta- gen nach Eröffnung der entsprechenden Verfügung schriftlich und begründet einzureichen (Art. 396 Abs. 1 StPO). Es können dabei sämtliche Punkte der Einstellungsverfügung, so auch die Kosten- und Entschädigungsregelung angefochten werden (Beschlüsse des Bundesstrafgerichts BB.2021.209 vom 20. Oktober 2021 E. 1.1; BB.2018.149 vom 5. August 2019 E. 1.1; je- weils m.w.H.). Zur Beschwerde legitimiert sind die Parteien, sofern sie ein rechtlich geschütztes Interesse an der Aufhebung oder Änderung der ange- fochtenen Verfügung haben (Art. 382 Abs. 1 StPO). Die geschädigte Person ist gegen die Einstellung des Verfahrens grundsätzlich nur insoweit zur Be- schwerde legitimiert, als sie sich vor Abschluss des Vorverfahrens im Sinne der Art. 118 f. StPO als Privatklägerschaft konstituiert hat (BGE 141 IV 380 E. 2.2 S. 383 mit Hinweis) bzw. als sie – was gerade bei der Nichtanhand- nahmeverfügung der Fall sein kann – noch keine Gelegenheit hatte, sich als Privatklägerschaft zu konstituieren (vgl. hierzu zuletzt u.a. den Beschluss des Bundesstrafgerichts BB.2022.82 vom 13. Juli 2022 mit Hinweis). Als ge- schädigte Person gilt die Person, die durch die Straftat in ihren Rechten un- mittelbar verletzt worden ist (Art. 115 Abs. 1 StPO). Mit der Beschwerde ge- 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Der Beschwerdeführerin kommt bezüglich der Straftatbestände, welche Ge- genstand der Verfahrenseinstellung gemäss Ziff. 1.3 und 1.4 des Dispositivs der angefochtenen Verfügung bilden, die für die Beschwerdelegitimation not- wendige Rolle der geschädigten Person zu (vgl. hierzu bereits den Be- schluss des Bundesstrafgerichts BB.2018.145 vom 7. März 2019 E. 1.4 mit Hinweis auf TPF 2018 88 E. 3.4–3.7). Analoge Überlegungen gelten auch hinsichtlich der Straftatbestände, welche Gegenstand der vorliegend ange- fochtenen Nichtanhandnahmeverfügung bilden. Zweifelsfrei legitimiert ist die Beschwerdeführerin schliesslich hinsichtlich der ihr auferlegten Verfahrens- kosten (siehe u.a. auch die Verfügung des Bundesstrafgerichts BB.2017.186 vom 7. Februar 2018 E. 1.2). Auf deren frist- und formgerecht eingereichte Beschwerde ist einzutreten.</w:t>
      </w:r>
    </w:p>
    <w:p>
      <w:r>
        <w:t>- 6 -</w:t>
      </w:r>
    </w:p>
    <w:p>
      <w:r>
        <w:rPr>
          <w:b/>
        </w:rPr>
        <w:t>E. 2</w:t>
      </w:r>
    </w:p>
    <w:p>
      <w:r>
        <w:t>Indem die Beschwerdeführerin im Rahmen der Beschwerde genau anzuge- ben hat, welche Punkte des Entscheides sie anficht (Art. 385 Abs. 1 lit. a StPO), legt sie mit ihren Beschwerdebegehren den Beschwerdegegenstand fest. Vorliegend zur Diskussion stehen somit die erfolgte Verfahrenseinstel- lung gemäss Ziff. 1.3, 1.4 und 2 des Dispositivs der angefochtenen Verfü- gung (siehe hierzu nachfolgende E. 3) sowie die diesbezügliche Abweisung eines von der Beschwerdeführerin gestellten Beweisantrags (siehe hierzu E. 3.2.3 in fine). Umstritten sind schliesslich auch die hinsichtlich des einge- stellten Verfahrens ergangenen Kosten- und Entschädigungsfolgen gemäss Ziff. 3 und 5 des Dispositivs der angefochtenen Verfügung (siehe dazu E. 4) sowie die Nichtanhandnahme bezüglich eines Teils der mit Eingabe vom 30. Juni 2021 neu zur Anzeige gebrachten Sachverhalte (siehe dazu E. 5).</w:t>
      </w:r>
    </w:p>
    <w:p>
      <w:r>
        <w:rPr>
          <w:b/>
        </w:rPr>
        <w:t>E. 3.1</w:t>
      </w:r>
    </w:p>
    <w:p>
      <w:r>
        <w:t>Die Staatsanwaltschaft verfügt die vollständige oder teilweise Einstellung des Verfahrens, wenn kein Tatverdacht erhärtet ist, der eine Anklage recht- fertigt, oder wenn kein Straftatbestand erfüllt ist (Art. 319 Abs. 1 lit. a und b StPO). Der Entscheid über die Einstellung des Verfahrens hat sich nach dem Grundsatz in dubio pro duriore zu richten. Dieser ergibt sich aus dem Lega- litätsprinzip. Er bedeutet, dass eine Einstellung durch die Staatsanwaltschaft grundsätzlich nur bei klarer Straflosigkeit oder offensichtlich fehlenden Pro- zessvoraussetzungen angeordnet werden darf. Hingegen ist, sofern die Er- 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 stellungsverfügungen zu beachten (BGE 143 IV 241 E. 2.2.1; 138 IV 186 E. 4.1; 138 IV 86 E. 4.1.1 S. 90 f.; vgl. auch BGE 148 IV 124 E. 2.6.7 S. 134).</w:t>
      </w:r>
    </w:p>
    <w:p>
      <w:r>
        <w:rPr>
          <w:b/>
        </w:rPr>
        <w:t>E. 3.2.1</w:t>
      </w:r>
    </w:p>
    <w:p>
      <w:r>
        <w:t>Gegenstand der Einstellung gemäss Ziff. 1.3 des Dispositivs der angefoch- tenen Verfügung bildet der von der Beschwerdeführerin erhobene Vorwurf, der Beschwerdegegner 2 habe im Jahre 2011 veranlasst, dass die F. SA (als underlying company des O. Trusts) und die G. Ltd. (als underlying company des P. Trusts) börsenkotierte Aktien zu überhöhten Preisen gekauft hätten, d.h. zu Preisen, die zum Zeitpunkt des jeweiligen Kaufs über den jeweils aktuellen Börsenpreisen gelegen seien. Den beiden Gesellschaften sei</w:t>
      </w:r>
    </w:p>
    <w:p>
      <w:r>
        <w:t>- 7 -</w:t>
      </w:r>
    </w:p>
    <w:p>
      <w:r>
        <w:t>dadurch ein Schaden in der Höhe der jeweiligen Preisdifferenz erwachsen (vgl. hierzu die von der Beschwerdeführerin erstellte Auflistung der betroffe- nen Aktien in Akten BA, pag. 05.101-0015). Gleichzeitig bestehe der Ver- dacht, dass die Verkäufer(innen) dieser Aktien unter der Kontrolle des Be- schwerdegegners 2 gestanden seien (vgl. hierzu den Beschluss des Bun- desstrafgerichts BB.2018.145 vom 7. März 2019 E. 3.4.1).</w:t>
      </w:r>
    </w:p>
    <w:p>
      <w:r>
        <w:rPr>
          <w:b/>
        </w:rPr>
        <w:t>E. 3.2.2</w:t>
      </w:r>
    </w:p>
    <w:p>
      <w:r>
        <w:t>Die Analyse der hierzu relevanten Bankunterlagen durch die Beschwerde- gegnerin 1 ergab, dass – mit Ausnahme von zwei Positionen – sämtliche der betroffenen Aktien mittels Ausübung von Put-Optionen gekauft worden sind, was die im Rahmen des Beschlusses BB.2018.145 vom 7. März 2019 (siehe dort E. 3.4.2) noch aufgeworfenen Fragen mehrheitlich beantwortet. Mit dem Verkauf der jeweiligen Put-Option verpflichteten sich die F. SA und die G. Ltd. dazu, den Basiswert, also die entsprechenden Aktien, zu einem mit- tels der Option festgelegten Preis (Strike price + Optionsprämie) zum Aus- übungsdatum zu übernehmen. In den jeweiligen Vermögensauszügen werde entsprechend der Ausübungspreis (Strike price) abzüglich der bezahl- ten Optionsprämie aufgeführt (vgl. Akten BA, pag. 15.101-0047 mit Hinweis auf die hierzu erhobenen Akten; pag. 03.001-0042; act. 1.2, Ziff. II.C.3 ff.). Bezüglich der zwei übrigen Positionen (Q. Inc und R. Inc) ergab die Auswer- tung durch die Beschwerdegegnerin 1, dass diese Aktienkäufe über NAS- DAQ New York bzw. über NYSE Amex New York zu Marktpreisen abgewi- ckelt worden sind (Akten BA, pag. 15.101-0147 ff.). Die von der Beschwer- deführerin erwähnten Aktien der S. wurden schliesslich nicht im erwähnten Zeitraum gekauft, sondern von einer Bankbeziehung der F. SA auf eine an- dere verschoben (vgl. die Ausführungen und die weiteren Hinweise in Akten BA, pag. 15.101-0048). Weiter kommt die Beschwerdegegnerin 1 gestützt auf die vorliegenden Akten zum Schluss, dass der Beschwerdegegner 2 in seiner Rolle als Trustee des O. Trusts bzw. des P. Trusts grundsätzlich dazu ermächtigt war, Investments jeglicher Art zu tätigen, auch solche spekulati- ver Natur (Akten BA, pag. 15.101-0048 f. m.w.H.). Die entsprechenden Ak- ten führen die Beschwerdegegnerin 1 zum Schluss, dass der Beschwerde- gegner 2 bei den genannten Geschäften vollumfänglich im Rahmen seiner damaligen Kompetenzen als Trustee gehandelt habe. Diese Erkenntnisse würden gegen eine Erfüllung des Tatbestandes der ungetreuen Geschäfts- besorgung oder der Veruntreuung sprechen.</w:t>
      </w:r>
    </w:p>
    <w:p>
      <w:r>
        <w:rPr>
          <w:b/>
        </w:rPr>
        <w:t>E. 3.2.3</w:t>
      </w:r>
    </w:p>
    <w:p>
      <w:r>
        <w:t>Die von der Beschwerdeführerin dagegen erhobenen Vorbringen vermögen nicht zu überzeugen bzw. führen in diesem Punkt nicht zu einem anderen Schluss. So erweist sich allein die Behauptung, die fraglichen Put-Optionen würden aufgrund ihrer «ungewöhnlich» langen Laufzeit für den Investor ein höheres Risiko darstellen, nur bedingt als zutreffend (act. 1, Rz. 25 f.).</w:t>
      </w:r>
    </w:p>
    <w:p>
      <w:r>
        <w:t>- 8 -</w:t>
      </w:r>
    </w:p>
    <w:p>
      <w:r>
        <w:t>Entsprechenden Risiken wurde beim Abschluss der fraglichen Kontrakte mit einer Prämie zu Gunsten der F. SA bzw. der G. Ltd. Rechnung getragen (vgl. hierzu act. 7, Ziff. II.B.3.7). Auf die Erkenntnis, wonach dem Beschwerde- gegner 2 bezüglich des Risikogrades der Investitionen unbeschränkte Be- fugnisse zugekommen sind, geht sie nicht ein. Ebenso übergeht sie die Aus- führungen zur detaillierten Analyse der Beschwerdegegnerin 1 zu den frag- lichen Geschäften mit Put-Optionen, wonach nebst Verlusten aus ausgeüb- ten Put-Optionen auch Gewinne aus wertlos verfallenen Optionen erzielt worden seien (siehe act. 7, Ziff. II.B.3.9). So vermögen letztlich auch ihre nicht weiter abgestützte Behauptung, wonach der Beschwerdegegner 2 über alle Mandate hinweg einen spektakulären Misserfolg erzielt habe (act. 1, Rz. 27), oder die alleinige Vermutung, wonach der Beschwerdegegner 2 bei seinem Handeln möglicherweise in einem Interessenkonflikt gestanden habe (act. 1, Rz. 28), einen Verdacht zu begründen, dass die zur Diskussion ste- henden Geschäfte den Tatbestand der ungetreuen Geschäftsbesorgung bzw. der Veruntreuung erfüllen könnten. Die Beschwerde erweist sich in die- sem Punkt als unbegründet und der von der Beschwerdeführerin diesbezüg- lich gestellte Antrag auf weitere Beweiserhebung als obsolet.</w:t>
      </w:r>
    </w:p>
    <w:p>
      <w:r>
        <w:rPr>
          <w:b/>
        </w:rPr>
        <w:t>E. 3.3.1</w:t>
      </w:r>
    </w:p>
    <w:p>
      <w:r>
        <w:t>Gegenstand der Untersuchung bildete weiter der Vorwurf, der Beschwerde- gegner 2 habe im Oktober 2015 eine Zahlung von Fr. 100‘000.– vom Konto der F. SA auf das Kapitaleinzahlungskonto der neu gegründeten I. AG ver- anlasst. Der Verwaltungsrat bei deren Gründung sei ein enger Weggefährte des Beschwerdegegners 2 gewesen. Die Beschwerdeführerin machte hierzu geltend, es sei davon auszugehen, der Beschwerdegegner 2 habe sich das Gründungskapital der I. AG ganz einfach von der von ihm verwalteten F. SA geholt. Insbesondere habe die F. SA keine Aktien der mit ihrem Geld ge- gründeten I. AG gezeichnet (vgl. hierzu den Beschluss des Bundesstrafge- richts BB.2018.145 vom 7. März 2019 E. 3.6.1 und 3.6.2).</w:t>
      </w:r>
    </w:p>
    <w:p>
      <w:r>
        <w:rPr>
          <w:b/>
        </w:rPr>
        <w:t>E. 3.3.2</w:t>
      </w:r>
    </w:p>
    <w:p>
      <w:r>
        <w:t>Die Beschwerdeführerin reichte diesen Punkt betreffend E-Mail-Verkehr vom Juni 2016 zwischen ihr und dem Beschwerdegegner 2 zu den Akten, welcher inhaltlich auf die zur Diskussion stehende Überweisung an die I. AG vom 25. September 2015 und auf damit im Zusammenhang stehende Rückzah- lungen an die Mutter der Beschwerdeführerin Bezug zu nehmen scheint (siehe Akten BA, pag. 15.101-0098 ff.). Zur weiteren Klärung des Sachver- halts unterbreitete die Beschwerdegegnerin 1 der Beschwerdeführerin am 26. August 2020 eine Reihe von Fragen (Akten BA, pag. 15.101-0050), wel- che diese am 30. September 2020 beantwortete (Akten BA, pag. 15.101- 0237 ff.). Gestützt auf die Antworten der Beschwerdeführerin und auf weitere in diesem Zusammenhang eingereichte E-Mails kam die</w:t>
      </w:r>
    </w:p>
    <w:p>
      <w:r>
        <w:t>- 9 -</w:t>
      </w:r>
    </w:p>
    <w:p>
      <w:r>
        <w:t>Beschwerdegegnerin 1 zusammengefasst zum Schluss, dass es sich bei den fraglichen Fr. 100‘000.– um ein Darlehen gehandelt haben muss (vgl. hierzu im Detail act. 1.2, Ziff. II.D.3 ff.).</w:t>
      </w:r>
    </w:p>
    <w:p>
      <w:r>
        <w:rPr>
          <w:b/>
        </w:rPr>
        <w:t>E. 3.3.3</w:t>
      </w:r>
    </w:p>
    <w:p>
      <w:r>
        <w:t>Insbesondere aus den Ausführungen der Beschwerdeführerin selbst (siehe deren Eingabe als Beilage zum Schreiben ihres Vertreters vom 30. Septem- ber 2020 in Akten BA, pag. 15.101-0237 ff.) ergibt sich, dass der Betrag von Fr. 100‘000.– bereits im Juli 2015 Gegenstand von Diskussionen zwischen der Beschwerdeführerin und dem Beschwerdegegner 2 bildete. Demnach habe Letzterer vorgeschlagen, Fr. 100‘000.– «en prenant en dette» vom Konto der F. SA zu nehmen, um den Betrag in der Folge durch monatliche Überweisungen in der Höhe von EUR 5‘000.– an die Schwester der Be- schwerdeführerin zurückzuzahlen. Diese Rückzahlungen erfolgten demnach durch die dem Beschwerdegegner 2 zuzurechnende T. Ltd. Diese monatli- chen Zahlungen bildeten zudem schon Gegenstand des aktenkundigen E-Mail-Verkehrs zwischen der Beschwerdeführerin und dem Beschwerde- gegner 2 vom Monat März 2015 (siehe Beilage 1 zum Schreiben des Vertre- ters der Beschwerdeführerin vom 30. September 2020 in Akten BA, pag. 15.101-0237 ff.). Aufgrund der Akten und der Erklärungen der Be- schwerdeführerin wird hinreichend klar, dass der Beschwerdegegner 2 für die am 25. September 2015 erfolgte Überweisung in den eigenen Verfü- gungsbereich über eine Einwilligung der Beschwerdeführerin verfügte, womit dem diese Transaktion betreffenden, zur Anzeige gebrachten Vorwurf der ungetreuen Geschäftsbesorgung bzw. Veruntreuung der Boden entzogen ist.</w:t>
      </w:r>
    </w:p>
    <w:p>
      <w:r>
        <w:rPr>
          <w:b/>
        </w:rPr>
        <w:t>E. 3.3.4</w:t>
      </w:r>
    </w:p>
    <w:p>
      <w:r>
        <w:t>Die diesbezüglichen Bestreitungen in der Beschwerde überzeugen demge- genüber nicht. So erscheinen im erwähnten Mail-Verkehr zwischen den Par- teien vom Juni 2016 (entgegen der Darstellung in act. 1, Rz. 34) allein Anzahl und Umfang allenfalls noch ausstehender Rückzahlungen umstritten, nicht jedoch die ursprüngliche Überweisung von Fr. 100‘000.– oder deren Ver- wendungszweck an sich. Dass die Zahlungen an die Schwester der Be- schwerdeführerin gemäss Vereinbarung direkt aus dem Trustvermögen hät- ten erfolgen sollen (so in act. 1, Rz. 34), ergibt schon allein gestützt auf die oben geschilderte vereinbarte Rückzahlung durch die T. Ltd. keinerlei Sinn. Insbesondere aber widerspricht die Behauptung, es habe keine von der Be- schwerdegegnerin 1 skizzierte Darlehensvereinbarung gegeben, der schrift- lichen Aussage der Beschwerdeführerin selbst, wonach der Beschwerde- gegner 2 Fr. 100‘000.– vom Konto der F. SA «en dette» genommen habe. Diese Aussage widerspricht auch dem übrigen von der Beschwerdeführerin geschilderten Inhalt ihrer angeblichen Instruktion an den Beschwerdegeg- ner 2, welche – auch wieder gemäss eigenen Aussagen der</w:t>
      </w:r>
    </w:p>
    <w:p>
      <w:r>
        <w:t>- 10 -</w:t>
      </w:r>
    </w:p>
    <w:p>
      <w:r>
        <w:t>Beschwerdeführerin – nirgends schriftlich festgehalten wurde. Die Interpre- tation der Aktenlage durch die Beschwerdeführerin erweist sich aufgrund des Vorstehenden als haltlos und ihre Beschwerde ist auch in diesem Punkt un- begründet.</w:t>
      </w:r>
    </w:p>
    <w:p>
      <w:r>
        <w:rPr>
          <w:b/>
        </w:rPr>
        <w:t>E. 3.4</w:t>
      </w:r>
    </w:p>
    <w:p>
      <w:r>
        <w:t>Die vorstehenden Sachverhalte betreffend ermittelte die Beschwerdegegne- rin 1 auch gegen unbekannte Täterschaft, nachdem die Beschwerdeführerin geltend gemacht hatte, der Beschwerdegegner 2 habe nicht alleine, sondern zusammen mit weiteren Personen gehandelt. Konkrete Personen, welche als Mittäter oder Gehilfen in Frage kämen, seien indessen nicht ermittelt wor- den, weshalb die Beschwerdegegnerin 1 die Untersuchung gegen unbe- kannte Täterschaft zu diesen Sachverhalten ebenfalls gestützt auf Art. 319 Abs. 1 lit. a StPO einstellte (vgl. hierzu act. 1.2, Ziff. II.E). Die Beschwerde- führerin bringt hierzu (in act. 1, Rz. 14 und act. 11, S. 3) nichts Konkretes vor, was einen anderen Schluss nahelegen würde. Die Beschwerde erweist sich auch in diesem Punkt als unbegründet.</w:t>
      </w:r>
    </w:p>
    <w:p>
      <w:r>
        <w:rPr>
          <w:b/>
        </w:rPr>
        <w:t>E. 4.1</w:t>
      </w:r>
    </w:p>
    <w:p>
      <w:r>
        <w:t>Die Kosten des mit Einstellung beendeten Verfahrens werden grundsätzlich vom Bund getragen (Art. 423 Abs. 1 StPO). Dieser kann gestützt auf Art. 420 StPO für die von ihm getragenen Kosten jedoch auf Personen Rückgriff neh- men, die vorsätzlich oder grobfahrlässig die Einleitung des Verfahrens be- wirkt (lit. a), das Verfahren erheblich erschwert (lit. b) oder einen im Revisi- onsverfahren aufgehobenen Entscheid verursacht haben (lit. c). Diese Be- stimmung gibt dem Staat die Möglichkeit, auf jene Personen Rückgriff zu nehmen, die ihm vorsätzlich oder grobfahrlässig Kosten, wie Verfahrenskos- ten oder Entschädigung und Genugtuung an die beschuldigte Person, ver- ursacht haben. Angesichts des Interesses der Allgemeinheit, dass strafbare Handlungen auch durch Private zur Anzeige gebracht werden, sollte der Staat nur mit Zurückhaltung von der Möglichkeit des Rückgriffs gemäss Art. 420 lit. a StPO Gebrauch machen. Trotzdem entspricht es dem Gebot von Recht und Billigkeit, die Verfahrenskosten, Entschädigungen und Ge- nugtuungen derjenigen Person aufzuerlegen, die ohne hinreichende Grund- lage oder aus bösem Willen ein Verfahren verursacht hat. Ein Rückgriff kommt bei haltlosen Verdächtigungen, nicht jedoch bei einer in guten Treuen erstatteten Strafanzeige in Frage (vgl. hierzu das Urteil des Bundesgerichts 6B_620/2015 vom 3. März 2016 E. 2.2 m.w.H.; zuletzt bestätigt u.a. im Urteil des Bundesgerichts 6B_1267/2019 vom 13. März 2020 E. 2.2.2; siehe auch TPF 2015 20 E. 2.2 sowie die Verfügung des Bundesstrafgerichts BB.2017.186 vom 7. Februar 2018 E. 3.3).</w:t>
      </w:r>
    </w:p>
    <w:p>
      <w:r>
        <w:t>- 11 -</w:t>
      </w:r>
    </w:p>
    <w:p>
      <w:r>
        <w:rPr>
          <w:b/>
        </w:rPr>
        <w:t>E. 4.2</w:t>
      </w:r>
    </w:p>
    <w:p>
      <w:r>
        <w:t>In ihrer Strafanzeige stellte die Beschwerdeführerin die oben erwähnte Zah- lung von Fr. 100‘000.– vom Konto der F. SA auf das Kapitaleinzahlungskonto der neu gegründeten I. AG als Veruntreuung von Trustvermögen dar (siehe oben E. 3.3.1). Die Auswertung von diesbezüglichen Unterlagen führte die Beschwerdegegnerin 1 jedoch zur Annahme, dass diese Zahlung mutmass- lich Teil einer Vereinbarung zwischen der Beschwerdeführerin und dem von ihr beschuldigten Beschwerdegegner 2 bilden musste. Die Erklärungen der Beschwerdeführerin selbst zu den hierzu gestellten Fragen der Beschwer- degegnerin 1 ergaben, dass die inkriminierte Zahlung letztlich Teil einer Dar- lehensabrede zwischen der Beschwerdeführerin und dem Beschwerdegeg- ner 2 war (siehe oben E. 3.3.2–3.3.4). Der daraufhin angepasste Vorwurf, das Geld aus dem Trustvermögen hätte jeweils direkt an die Schwester der Beschwerdeführerin überwiesen werden sollen, steht eindeutig im Wider- spruch zu den bereits im März 2015 und damit vor der inkriminierten Zahlung vereinbarten Rückzahlungsmodalitäten sowie den Erklärungen der Be- schwerdeführerin gegenüber der Beschwerdegegnerin 1. Somit hat die Be- schwerdeführerin im Zeitpunkt der Anzeige für die strafrechtliche Bewertung des angezeigten Sachverhalts wesentliche und ihr damals schon bekannte Informationen verschwiegen, weshalb sie die Einleitung des diesen Vorwurf betreffenden Verfahrens zumindest grobfahrlässig bewirkt hat. Die von der Beschwerdegegnerin 1 vorgenommene Kostenauflage an die Beschwerde- führerin ist nach dem Gesagten gerechtfertigt. Deren Beschwerde (vgl. act. 1, Rz. 44 ff.; act. 11, S. 3) erweist sich demgegenüber auch in diesem Punkt als unbegründet.</w:t>
      </w:r>
    </w:p>
    <w:p>
      <w:r>
        <w:rPr>
          <w:b/>
        </w:rPr>
        <w:t>E. 4.3</w:t>
      </w:r>
    </w:p>
    <w:p>
      <w:r>
        <w:t>Nachdem sich die erfolgte Verfahrenseinstellung als rechtmässig erweist und der Beschwerdegegner 2 als Beschuldigter in diesem Punkt nicht nach Art. 426 Abs. 2 StPO kostenpflichtig ist, entfällt die Grundlage einer allfälligen Entschädigung zu Gunsten der Beschwerdeführerin (siehe Art. 433 Abs. 1 StPO). Die Beschwerde erweist sich damit auch unbegründet, soweit sie sich gegen Ziff. 5 des Dispositivs der angefochtenen Verfügung richtet.</w:t>
      </w:r>
    </w:p>
    <w:p>
      <w:r>
        <w:rPr>
          <w:b/>
        </w:rPr>
        <w:t>E. 5.1</w:t>
      </w:r>
    </w:p>
    <w:p>
      <w:r>
        <w:t>Die Staatsanwaltschaft eröffnet eine Untersuchung, wenn sich aus den In- formationen und Berichten der Polizei, aus der Strafanzeige oder aus ihren eigenen Feststellungen ein hinreichender Tatverdacht ergibt (Art. 309 Abs. 1 lit. a StPO). Sie verzichtet auf die Eröffnung, wenn sie sofort eine Nichtan- handnahmeverfügung oder einen Strafbefehl erlässt (Art. 309 Abs. 4 StPO). Die Nichtanhandnahme wird u.a. dann verfügt, sobald aufgrund der Strafan- zeige oder des Polizeirapports feststeht, dass die fraglichen Straftatbestände oder die Prozessvoraussetzungen eindeutig nicht erfüllt sind (Art. 310 Abs. 1 lit. a StPO). Die Frage, ob ein Strafverfahren über eine Nichtanhandnahme</w:t>
      </w:r>
    </w:p>
    <w:p>
      <w:r>
        <w:t>- 12 -</w:t>
      </w:r>
    </w:p>
    <w:p>
      <w:r>
        <w:t>erledigt werden kann, beurteilt sich nach dem aus dem Legalitätsprinzip ab- geleiteten Grundsatz in dubio pro duriore (Art. 5 Abs. 1 BV und Art. 2 StPO i.V.m. Art. 319 Abs. 1 und Art. 324 Abs. 1 StPO; vgl. hierzu u.a. das Urteil des Bundesgerichts 6B_1104/2017 vom 13. April 2018 E. 2.3.1 mit Hinweis).</w:t>
      </w:r>
    </w:p>
    <w:p>
      <w:r>
        <w:t>Nach dem Wortlaut von Art. 310 Abs. 1 lit. a StPO muss feststehen, dass «die fraglichen Straftatbestände (…) eindeutig nicht erfüllt sind». Es muss mit anderen Worten sicher sein, dass der Sachverhalt unter keinen Straftat- bestand fällt, was etwa der Fall ist bei rein zivilrechtlichen Streitigkeiten. Eine Nichtanhandnahme darf nur in sachverhaltsmässig und rechtlich klaren Fäl- len ergehen (vgl. hierzu BGE 137 IV 285 E. 2.3 S. 287). Im Zweifelsfalle, wenn die Gründe der Nichtanhandnahme nicht mit absoluter Sicherheit ge- geben sind, ist folglich eine Untersuchung zu eröffnen (vgl. hierzu BGE 137 IV 285 E. 2.3 S. 288; Urteil des Bundesgerichts 6B_158/2021 vom 2. Mai 2022 E. 2.4.1).</w:t>
      </w:r>
    </w:p>
    <w:p>
      <w:r>
        <w:rPr>
          <w:b/>
        </w:rPr>
        <w:t>E. 5.2.1</w:t>
      </w:r>
    </w:p>
    <w:p>
      <w:r>
        <w:t>Zu den mit Eingabe der Beschwerdeführerin vom 30. Juni 2021 neu zur An- zeige gebrachten Sachverhalten hielt die Beschwerdegegnerin 1 in der an- gefochtenen Verfügung zusammenfassend und mit Hinweis auf die in der Untersuchung gesammelten Erkenntnisse fest, dass im Rahmen der Verwal- tung der Trustvermögen durch den Beschwerdegegner 2 rein aufgrund eines (der Beschwerdeführerin) unbekannten Zahlungsempfängers, einer Gesell- schaft des Beschuldigten als Zahlungsempfängerin (in welchen der Be- schwerdegegner 2 verschiedentlich ein Pooling von Vermögenswerten vor- genommen habe, bevor er diese in drittbeherrschte Gesellschaften oder Fonds investiert habe) oder generell des Fehlens der Kenntnis der Zahlungs- hintergründe (auf Seiten der Beschwerdeführerin) nicht eine ungetreue Ge- schäftsbesorgung oder eine Veruntreuung vermutet werden könne. Die al- leinige Nennung der drei fraglichen Transaktionen sowie die implizite Bedürf- nisäusserung nach einer Abklärung dieser Zahlungen durch die Beschwer- degegnerin 1 seien im Sinne einer neuen Strafanzeige bzw. eines ausrei- chenden, konkreten Anfangsverdachts als unzureichend zu qualifizieren (act. 1.2, Ziff. III.B.3).</w:t>
      </w:r>
    </w:p>
    <w:p>
      <w:r>
        <w:rPr>
          <w:b/>
        </w:rPr>
        <w:t>E. 5.2.2</w:t>
      </w:r>
    </w:p>
    <w:p>
      <w:r>
        <w:t>Die am 13. August 2013 ausgeführte Zahlung über USD 500'000.– der F. SA zu Gunsten der L. Ltd. betreffend führte die Beschwerdeführerin am 30. Juni 2021 lediglich aus, die Zahlungsempfängerin sei eine dem Beschwerdegeg- ner 2 zuzurechnende Gesellschaft, deren Vermögenswerte im Jahr 2014 durch die FINMA gesperrt worden seien (Akten BA, pag. 19.001-0004). In ihrer Beschwerde zieht sie zudem den auf dem entsprechenden Zahlungs- beleg angegebenen Zahlungsgrund in Zweifel (act. 1, Rz. 39).</w:t>
      </w:r>
    </w:p>
    <w:p>
      <w:r>
        <w:t>- 13 -</w:t>
      </w:r>
    </w:p>
    <w:p>
      <w:r>
        <w:rPr>
          <w:b/>
        </w:rPr>
        <w:t>E. 5.2.3</w:t>
      </w:r>
    </w:p>
    <w:p>
      <w:r>
        <w:t>Die am 8. Juli 2019 ausgeführte Zahlung über USD 93'449.– zu Gunsten der N. Limited betreffend enthält die Eingabe vom 30. Juni 2021 lediglich Spe- kulationen über die Zahlungsempfängerin (Akten BA, pag. 19.001-0004), welche der Beschwerdeführerin gänzlich unbekannt sei (act. 1, Rz. 39). In der Beschwerde wird lediglich vermutet, dass es sich nicht um eine die Inte- ressen der Beschwerdeführerin wahrende Investition gehandelt habe (act. 1, Rz. 39). Völlig unklar bleibt aufgrund der Ausführungen der Beschwerdefüh- rerin auch, wer überhaupt den entsprechenden Zahlungsauftrag erteilt ha- ben soll, nachdem – den eigenen Ausführungen der Beschwerdeführerin zu- folge – bereits im Vorjahr sowohl der protector als auch der Trustee des O. Trusts sowie die Geschäftsführung der underlying company, der F. SA, ausgewechselt worden seien (vgl. Akten BA, pag. 19.001-0004 f. sowie act. 1, Rz. 39).</w:t>
      </w:r>
    </w:p>
    <w:p>
      <w:r>
        <w:rPr>
          <w:b/>
        </w:rPr>
        <w:t>E. 5.2.4</w:t>
      </w:r>
    </w:p>
    <w:p>
      <w:r>
        <w:t>Die zur Eröffnung einer Strafuntersuchung erforderlichen tatsächlichen Hin- weise auf eine strafbare Handlung müssen erheblich und konkreter Natur sein. Blosse Gerüchte oder Vermutungen genügen nicht; der für die Eröff- nung einer Untersuchung erforderliche Anfangsverdacht gemäss Art. 309 Abs. 1 lit. a StPO soll eine plausible Tatsachengrundlage haben, aus der sich die konkrete Möglichkeit ergibt, dass eine Straftat begangen worden ist (vgl. hierzu das Urteil des Bundesgerichts 6B_553/2022 vom 16. September 2022 E. 2.1 m.w.H.). Die eben geschilderten Vorbringen und Vermutungen der Beschwerdeführerin genügen – insbesondere auch im Lichte der bisherigen Erkenntnisse der Beschwerdegegnerin 1 – nicht, um hinsichtlich der beiden fraglichen Zahlungen einen konkreten, auf hinreichender Tatsachengrund- lage beruhenden Anfangsverdacht zu begründen. Die ergangene Nichtan- handnahme erweist sich damit als rechtmässig bzw. die dagegen erhobene Beschwerde als unbegründet.</w:t>
      </w:r>
    </w:p>
    <w:p>
      <w:r>
        <w:rPr>
          <w:b/>
        </w:rPr>
        <w:t>E. 6</w:t>
      </w:r>
    </w:p>
    <w:p>
      <w:r>
        <w:t>Nach dem vorstehend Ausgeführten erweist sich die Beschwerde in allen ihren Punkten als unbegründet. Sie ist vollumfänglich abzuweisen.</w:t>
      </w:r>
    </w:p>
    <w:p>
      <w:r>
        <w:rPr>
          <w:b/>
        </w:rPr>
        <w:t>E. 7.1</w:t>
      </w:r>
    </w:p>
    <w:p>
      <w:r>
        <w:t>Bei diesem Ausgang des Verfahrens sind die Gerichtskosten der unterlie- genden Beschwerdeführerin aufzuerlegen (Art. 428 Abs. 1 StPO). Die Ge- richtsgebühr ist auf Fr. 2'000.– festzusetzen (Art. 73 StBOG i.V.m. Art. 5 und</w:t>
      </w:r>
    </w:p>
    <w:p>
      <w:r>
        <w:rPr>
          <w:b/>
        </w:rPr>
        <w:t>E. 7.2</w:t>
      </w:r>
    </w:p>
    <w:p>
      <w:r>
        <w:t>Der Beschwerdegegner 2 verzichtete auf eine Beschwerdeantwort. Mangels nennenswerter Aufwendungen auf seiner Seite ist daher auf den Zuspruch einer Entschädigung für das vorliegende Verfahren zu verzichten.</w:t>
      </w:r>
    </w:p>
    <w:p>
      <w:r>
        <w:t>- 15 -</w:t>
      </w:r>
    </w:p>
    <w:p>
      <w:r>
        <w:rPr>
          <w:b/>
        </w:rPr>
        <w:t>E. 8</w:t>
      </w:r>
    </w:p>
    <w:p>
      <w:r>
        <w:t>Abs. 1 des Reglements des Bundesstrafgerichts vom 31. August 2010 über die Kosten, Gebühren und Entschädigungen in Bundesstrafverfahren [BStKR; SR 173.713.162]), unter Anrechnung des geleisteten Kostenvor- schusses in derselben Höhe (act. 2 und 3).</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