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 vom 19. Januar 2021</w:t>
      </w:r>
    </w:p>
    <w:p>
      <w:r>
        <w:t>Bundesstrafgericht, 2021-01-19, FR</w:t>
      </w:r>
    </w:p>
    <w:p>
      <w:r>
        <w:rPr>
          <w:b/>
        </w:rPr>
        <w:t xml:space="preserve">Quelle: </w:t>
      </w:r>
      <w:r>
        <w:t>https://mcp.opencaselaw.ch/entscheid/bstger_BB.2021.2</w:t>
      </w:r>
    </w:p>
    <w:p>
      <w:r>
        <w:t>FR: TPF BB.2021.2 du 19 janvier 2021</w:t>
      </w:r>
    </w:p>
    <w:p>
      <w:r>
        <w:t>IT: TPF BB.2021.2 del 19 gennaio 2021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</w:t>
      </w:r>
    </w:p>
    <w:p>
      <w:pPr>
        <w:pStyle w:val="Heading2"/>
      </w:pPr>
      <w:r>
        <w:t>Volltext</w:t>
      </w:r>
    </w:p>
    <w:p>
      <w:r>
        <w:t>Décision du 19 janvier 2021 Cour des plaintes Composition</w:t>
      </w:r>
    </w:p>
    <w:p>
      <w:r>
        <w:t>Les juges pénaux fédéraux Roy Garré, président, Cornelia Cova et Patrick Robert-Nicoud, la greffière Victoria Roth</w:t>
      </w:r>
    </w:p>
    <w:p>
      <w:r>
        <w:t>Parties</w:t>
      </w:r>
    </w:p>
    <w:p>
      <w:r>
        <w:t>A. AG</w:t>
      </w:r>
    </w:p>
    <w:p>
      <w:r>
        <w:t>recourante</w:t>
      </w:r>
    </w:p>
    <w:p>
      <w:r>
        <w:t>contre</w:t>
      </w:r>
    </w:p>
    <w:p>
      <w:r>
        <w:t>MINISTÈRE PUBLIC DE LA CONFÉDÉRATION</w:t>
      </w:r>
    </w:p>
    <w:p>
      <w:r>
        <w:t>intimé</w:t>
      </w:r>
    </w:p>
    <w:p>
      <w:r>
        <w:t>COUR DES AFFAIRES PÉNALES DU TRIBUNAL PÉNAL FÉDÉRAL</w:t>
      </w:r>
    </w:p>
    <w:p>
      <w:r>
        <w:t>autorité qui a rendu la décision attaquée</w:t>
      </w:r>
    </w:p>
    <w:p>
      <w:r>
        <w:t>Objet</w:t>
      </w:r>
    </w:p>
    <w:p>
      <w:r>
        <w:t>Actes de procédure de la Cour des affaires pénales (art. 20 al. 1 let. a en lien avec l'art. 393 al. 1 let. b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BB.2021.2</w:t>
      </w:r>
    </w:p>
    <w:p>
      <w:r>
        <w:t>- 2 -</w:t>
      </w:r>
    </w:p>
    <w:p>
      <w:r>
        <w:t>La Cour des plaintes, vu:</w:t>
      </w:r>
    </w:p>
    <w:p>
      <w:r>
        <w:t>- le recours interjeté le 24 décembre 2020, envoyé en « duplikat » le 2 janvier 2021 par A. AG et signé par B. seulement contre la décision du 17 décembre 2020 de la Cour des affaires pénales du Tribunal pénal fédéral (act. 1.1),</w:t>
      </w:r>
    </w:p>
    <w:p>
      <w:r>
        <w:t>- l’extrait du registre du commerce relatif à A. SA indiquant que B. dispose de la signature collective à deux et que C. dispose de la signature individuelle,</w:t>
      </w:r>
    </w:p>
    <w:p>
      <w:r>
        <w:t>- la lettre recommandée de la Cour de céans du 7 janvier 2021 impartissant à la recourante un délai au 13 janvier 2021 afin d’indiquer si C. ratifiait le recours interjeté le 24 décembre 2020 au nom de A. AG (act. 2),</w:t>
      </w:r>
    </w:p>
    <w:p>
      <w:r>
        <w:t>- l’avertissement figurant au bas dudit courrier par lequel la recourante a été informée du fait que, à défaut des éclaircissements requis, son recours serait déclaré irrecevable (act. 2),</w:t>
      </w:r>
    </w:p>
    <w:p>
      <w:r>
        <w:t>- l’absence de réponse de la recourante dans le délai imparti,</w:t>
      </w:r>
    </w:p>
    <w:p>
      <w:r>
        <w:t>et considérant:</w:t>
      </w:r>
    </w:p>
    <w:p>
      <w:r>
        <w:t>que la Cour des plaintes examine d’office et avec pleine cognition la recevabilité des recours qui lui sont adressés (v. MOREILLON/DUPUIS/MAZOU, La pratique judiciaire du Tribunal pénal fédéral en 2011, in JdT 2012 IV 5, p. 52 n. 199 et références citées);</w:t>
      </w:r>
    </w:p>
    <w:p>
      <w:r>
        <w:t>qu’à teneur de l’art. 390 al. 2 CPP, l’autorité de recours peut surseoir à procéder à un échange d’écritures lorsque le recours est manifestement irrecevable;</w:t>
      </w:r>
    </w:p>
    <w:p>
      <w:r>
        <w:t>que selon l’art. 393 al. 1 let. b CPP, ainsi que 37 al. 1 de la loi fédérale sur l’organisation des autorités pénales de la Confédération (LOAP; RS 173.71), le recours est recevable contre les ordonnances, les décisions, et les actes de procédures des tribunaux de premières instances;</w:t>
      </w:r>
    </w:p>
    <w:p>
      <w:r>
        <w:t>que selon l’art. 393 al. 2 let. a CPP, le recours peut être formé pour violation du droit, y compris l’excès et l’abus du pouvoir d’appréciation, le déni de justice et le retard injustifié;</w:t>
      </w:r>
    </w:p>
    <w:p>
      <w:r>
        <w:t>- 3 -</w:t>
      </w:r>
    </w:p>
    <w:p>
      <w:r>
        <w:t>qu’à teneur de l’extrait du registre du commerce, la signataire du recours déposé par A. AG en date du 24 décembre 2020 ne pouvait pas engager seule la société, celle-ci ne disposant que de la signature collective à deux;</w:t>
      </w:r>
    </w:p>
    <w:p>
      <w:r>
        <w:t>que la Cour de céans a dès lors invité A. AG à indiquer, d’ici au 13 janvier 2021, si C. – lequel dispose de la signature individuelle – ratifiait le recours déposé au nom de A. AG;</w:t>
      </w:r>
    </w:p>
    <w:p>
      <w:r>
        <w:t>qu’en l’absence de réponse dans le délai imparti, et partant en l’absence de pouvoirs de représentations suffisant pour engager A. AG, le recours déposé au nom de celle-ci doit être déclaré irrecevable;</w:t>
      </w:r>
    </w:p>
    <w:p>
      <w:r>
        <w:t>que conformément à l’art. 428 al. 1 CPP, les frais de la procédure de recours sont mis à la charge des parties dans la mesure où elles ont obtenu gain de cause ou succombé;</w:t>
      </w:r>
    </w:p>
    <w:p>
      <w:r>
        <w:t>que la partie dont le recours est déclaré irrecevable est également considérée avoir succombé, de sorte que B. supportera les frais de la présente décision;</w:t>
      </w:r>
    </w:p>
    <w:p>
      <w:r>
        <w:t>que les frais de justice doivent être calculés en application des art. 73 al. 2 LOAP, ainsi que des art. 5 et 8 du règlement du Tribunal pénal fédéral sur les frais, émoluments, dépens, et indemnités de la procédure pénale fédérale (RFPPF; RS 173.713.162) et seront fixés à CHF 500.--.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CHF 500.-- est mis à la charge de B..</w:t>
      </w:r>
    </w:p>
    <w:p>
      <w:r>
        <w:t>Bellinzone, le 19 janvier 2021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AG - Ministère public de la Confédération - Cour des affaires pénales du Tribunal pénal fédéral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