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 vom 27. Januar 2021</w:t>
      </w:r>
    </w:p>
    <w:p>
      <w:r>
        <w:t>Bundesstrafgericht, 2021-01-27, FR</w:t>
      </w:r>
    </w:p>
    <w:p>
      <w:r>
        <w:rPr>
          <w:b/>
        </w:rPr>
        <w:t xml:space="preserve">Quelle: </w:t>
      </w:r>
      <w:r>
        <w:t>https://mcp.opencaselaw.ch/entscheid/bstger_BB.2021.19</w:t>
      </w:r>
    </w:p>
    <w:p>
      <w:r>
        <w:t>FR: TPF BB.2021.19 du 27 janvier 2021</w:t>
      </w:r>
    </w:p>
    <w:p>
      <w:r>
        <w:t>IT: TPF BB.2021.19 del 27 gennaio 2021</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sur l'organisation des autorités pénales de la Confédération [LOAP; RS 173.71]) – lorsque le MPC est concerné.</w:t>
      </w:r>
    </w:p>
    <w:p>
      <w:r>
        <w:rPr>
          <w:b/>
        </w:rPr>
        <w:t>E. 1.2</w:t>
      </w:r>
    </w:p>
    <w:p>
      <w:r>
        <w:t>Sur ce vu, il incombe donc à l’autorité de céans de trancher la question de la récusation, les membres du MPC visés par une requête n’ayant qu’à prendre position sur cette dernière (art. 58 al. 2 CPP) et à transmettre l’ensemble à la Cour des plaintes du Tribunal pénal fédéral pour décision, cette dernière tranchant définitivement le litige (art. 59 al. 1 CPP).</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décision du Tribunal pénal fédéral BB.2019.78 du 3 juillet 2019 consid. 1.3 et 1.4 et références citées).</w:t>
      </w:r>
    </w:p>
    <w:p>
      <w:r>
        <w:t>- 4 -</w:t>
      </w:r>
    </w:p>
    <w:p>
      <w:r>
        <w:rPr>
          <w:b/>
        </w:rPr>
        <w:t>E. 1.3.2</w:t>
      </w:r>
    </w:p>
    <w:p>
      <w:r>
        <w:t>Le requérant soutient que l’intimée a procédé à sa mise en accusation, nonobstant un dossier qui le ne permettait à l’évidence pas, de surcroît dans un dossier où elle aurait été à la fois « juge et partie ». Ainsi, un autre procureur placé dans l’exacte même situation qui était celle qui était la sienne à la fin de l’instruction du dossier SV.12.0743-FAL, sur la base de l’exact même dossier et sans qu’aucun acte d’instruction complémentaire n’ait été mis en œuvre, a considéré qu’aucun soupçon justifiant une mise en accusation n’était établi. Le contenu de cette ordonnance et classement et les conséquences y relatives feraient craindre au requérant que l’intimée puisse avoir été mue par un rapport ou un sentiment d’inimitié, lequel la fait apparaître suspecte de prévention à son endroit (act. 1, p. 2).</w:t>
      </w:r>
    </w:p>
    <w:p>
      <w:r>
        <w:rPr>
          <w:b/>
        </w:rPr>
        <w:t>E. 1.3.3</w:t>
      </w:r>
    </w:p>
    <w:p>
      <w:r>
        <w:t>L’intimée quant à elle estime que le motif de récusation invoqué découlerait en fait matériellement de la mise en accusation et non pas de l’ordonnance de classement en tant que telle. Partant, dès lors que dit acte a été adressé le 25 mars 2019 dans le cadre de la procédure SV.12.0743, et que la demande de récusation repose en réalité sur le contenu de cet acte, ladite demande apparaît tardive et donc irrecevable (act. 2, p. 1). Ce constat serait conforté dans la mesure où les motifs invoqués dans la demande de récusation découleraient aussi de la décision de disjonction SN.2019.28 rendue le 26 novembre 2019 par la CAP-TPF: la problématique que l’intimée soit prétendument intervenue en tant que « juge et partie » aurait déjà été traitée par cette décision, et aucune demande de récusation n’aurait été formée dans ce contexte (act. 2, p. 2).</w:t>
      </w:r>
    </w:p>
    <w:p>
      <w:r>
        <w:rPr>
          <w:b/>
        </w:rPr>
        <w:t>E. 1.3.4</w:t>
      </w:r>
    </w:p>
    <w:p>
      <w:r>
        <w:t>In casu, il ressort de la requête de récusation, respectivement des motifs invoqués par le requérant à l’appui de celle-ci, que le reproche formulé à l’encontre de l’intimée est de l’avoir mis en accusation pour des faits qui ont finalement été classés par un autre procureur. Ainsi, le fait que sur la base d’un même dossier deux procureurs arrivent à des conclusions divergentes ferait apparaître celui-ci qui procède à la mise en accusation suspect de prévention à l’égard du prévenu. Cette argumentation ne saurait être suivie et le requérant semble perdre de vue que les motifs permettant de fonder une requête de récusation doivent être directs et concrets, et mettre en exergue un comportement du procureur de nature à susciter une apparence de prévention. Or force est de constater que les événements s’étant déroulés suite à la mise en accusation du prévenu devant la CAP-TPF le 25 mars 2019 ne sont en rien imputables à l’intimée, et ne saurait donc permettre de demander la récusation dès leur survenance. Qu’un tribunal estime que tous les faits mis en accusation ne permettent pas la condamnation du prévenu, respectivement qu’un autre procureur classe des faits initialement mis en accusation ne saurait à l’évidence constituer un motif de récusation. L’admettre reviendrait à faire naître une apparence de prévention de la part</w:t>
      </w:r>
    </w:p>
    <w:p>
      <w:r>
        <w:t>- 5 -</w:t>
      </w:r>
    </w:p>
    <w:p>
      <w:r>
        <w:t>du procureur dans chaque cas où un tribunal de première instance acquitte le prévenu de tout ou partie des faits qui lui sont reprochés. De la sorte, le prononcé d’un acquittement partiel créerait un motif de récusation à l’encontre du procureur ayant instruit la cause. Un tel raisonnement s’éloigne fortement des principes dégagés par le CPP. Il est ainsi de jurisprudence constante que des opinions divergentes, même des erreurs si celles-ci ne sont pas graves ou répétées ne constituent aucunement un motif de récusation (ATF 141 IV 178 consid. 3; 138 IV 142 consid. 2.3; 116 Ia 135 consid. 3a), de sorte qu’une critique intellectuelle à l’encontre d’un procureur ne peut davantage faire naître un soupçon de partialité. Au vu de ce qui précède, tous les reproches directs que le requérant fait valoir à l’encontre de l’intimée étaient présents lors de sa mise en accusation le 25 mars 2019. Aucun élément ou fait nouveau, respectivement aucun comportement imputable à l’intimée depuis cette date n’est évoqué. Partant, la requête de récusation est manifestement tardive, et dès lors irrecevable.</w:t>
      </w:r>
    </w:p>
    <w:p>
      <w:r>
        <w:rPr>
          <w:b/>
        </w:rPr>
        <w:t>E. 2</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