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BB.2021.185 vom 5. August 2022</w:t>
      </w:r>
    </w:p>
    <w:p>
      <w:r>
        <w:t>Bundesstrafgericht, 2022-08-05, DE</w:t>
      </w:r>
    </w:p>
    <w:p>
      <w:r>
        <w:rPr>
          <w:b/>
        </w:rPr>
        <w:t xml:space="preserve">Quelle: </w:t>
      </w:r>
      <w:r>
        <w:t>https://mcp.opencaselaw.ch/entscheid/bstger_BB.2021.185</w:t>
      </w:r>
    </w:p>
    <w:p>
      <w:r>
        <w:t>FR: TPF BB.2021.185 du 5 août 2022</w:t>
      </w:r>
    </w:p>
    <w:p>
      <w:r>
        <w:t>IT: TPF BB.2021.185 del 5 agosto 2022</w:t>
      </w:r>
    </w:p>
    <w:p>
      <w:pPr>
        <w:pStyle w:val="Heading2"/>
      </w:pPr>
      <w:r>
        <w:t>Regeste</w:t>
      </w:r>
    </w:p>
    <w:p>
      <w:r>
        <w:t>Nichtanhandnahmeverfügung (Art. 310 i.V.m. Art. 322 Abs. 2 StPO); unentgeltliche Rechtspflege für die Privatklägerschaft im Beschwerdeverfahren (Art. 136 Abs. 1 StPO)</w:t>
      </w:r>
    </w:p>
    <w:p>
      <w:pPr>
        <w:pStyle w:val="Heading2"/>
      </w:pPr>
      <w:r>
        <w:t>Erwägungen</w:t>
      </w:r>
    </w:p>
    <w:p>
      <w:r>
        <w:rPr>
          <w:b/>
        </w:rPr>
        <w:t>E. 1.1</w:t>
      </w:r>
    </w:p>
    <w:p>
      <w:r>
        <w:t>Gegen eine Nichtanhandnahmeverfügung können die Parteien innert 10 Tagen bei der Beschwerdeinstanz Beschwerde einreichen (Art. 310 Abs. 2 i.V.m. Art. 322 Abs. 2 StPO; Art. 396 Abs. 1 StPO). Mit der Be- schwerde können Rechtsverletzungen gerügt werden, einschliesslich Überschreitung und Missbrauchs des Ermessens, Rechtsverweigerung und Rechtverzögerung (Art. 393 Abs. 2 lit. a StPO), sowie die unvollstän- dige oder unrichtige Feststellung des Sachverhalts (Art. 393 Abs. 2 lit. b StPO) und die Unangemessenheit (Art. 393 Abs. 2 lit. c StPO). Zur Be- schwerdeführung berechtigt ist die Partei, die ein rechtlich geschütztes In- teresse an der Aufhebung oder Änderung des angefochtenen Entscheides hat (Art. 382 Abs. 1 i.V.m. Art. 104 und 105 Abs. 2 StPO). Partei ist na- mentlich die Privatklägerschaft (Art. 104 Abs. 1 lit. b StPO).</w:t>
      </w:r>
    </w:p>
    <w:p>
      <w:r>
        <w:rPr>
          <w:b/>
        </w:rPr>
        <w:t>E. 1.2</w:t>
      </w:r>
    </w:p>
    <w:p>
      <w:r>
        <w:t>Als Privatklägerschaft gilt die geschädigte Person, die ausdrücklich erklärt, sich am Strafverfahren als Straf- als Privatklägerin zu beteiligen (Art. 118</w:t>
      </w:r>
    </w:p>
    <w:p>
      <w:r>
        <w:t>- 4 -</w:t>
      </w:r>
    </w:p>
    <w:p>
      <w:r>
        <w:t>Abs. 1 StPO). Es reicht nicht aus, dass die geschädigte Person z.B. im Rahmen einer Strafanzeige, die Strafverfolgung und Bestrafung des Ange- zeigten verlangt, sondern sie muss darüber hinaus zum Ausdruck bringen, dass sie im Strafverfahren die Parteirechte beanspruchen will (MAZZUC- CHELLI/POSTIZZI, Basler Kommentar, 2. Aufl. 2014, Art. 118 StPO N. 5).</w:t>
      </w:r>
    </w:p>
    <w:p>
      <w:r>
        <w:rPr>
          <w:b/>
        </w:rPr>
        <w:t>E. 1.2.1</w:t>
      </w:r>
    </w:p>
    <w:p>
      <w:r>
        <w:t>Eine Konstituierung der Beschwerdeführerin als Privatklägerin ist nicht ak- tenkundig.</w:t>
      </w:r>
    </w:p>
    <w:p>
      <w:r>
        <w:rPr>
          <w:b/>
        </w:rPr>
        <w:t>E. 1.2.2</w:t>
      </w:r>
    </w:p>
    <w:p>
      <w:r>
        <w:t>Sofern die Beschwerdeführerin eine gegen sie erfolgte Drohung, Tätlich- keit, einfache Körperverletzung oder üble Nachrede angezeigt hat, wäre indessen ihre Strafanzeige als Strafantrag zu verstehen. Ein Strafantrag der geschädigten Person ist der ausdrücklichen Erklärung sich am Straf- verfahren als Straf- als Privatklägerin zu beteiligen gleichgestellt (Art. 118 Abs. 2 StPO). Demzufolge wäre die Beschwerdeführerin bezüglich An- tragsdelikte beschwerdelegitimiert.</w:t>
      </w:r>
    </w:p>
    <w:p>
      <w:r>
        <w:t>In ihrer Strafanzeige vom 27. März 2021 wirft A. der nicht namentlich be- kannten (beim BAG, beim Bundesrat und bei der Task Force tätigen) mut- masslichen Täterschaft vor, mit der «festgesetzte[n] Maskentragpflicht und [den] damit verbundenen Medien- und Plakatmitteilungen» aufgerufen zu haben «Masken zum Schutze der Alten und aus Solidarität zu tragen. Diese Mitteilungen und diese Aufrufe [würden] implizieren, dass Menschen, die keine Masken tragen, nicht solidarisch sind und/oder eine Straftat bege- hen.» […] «Menschen mit physischer und psychischer Behinderung, die aus medizinischen Gründen keine Masken tragen können resp. bei einem Maskentragen mit schwerstwiegenden, allenfalls sogar tödlichen Folgen zu rechnen hätten, [müssten] immer und immer wieder mit schwerwiegenden Diskriminierungen, Nötigungen, Tätlichkeiten, einfachen Körperverletzun- gen etc. leben.» […] «In der Covid-19-Verordnung besondere Lage (SR 818.101.26) Art. 3a und Art. 3b [seien] die Ausnahmen von der Masken- tragpflicht klar geregelt […]. Die verantwortlichen Mitarbeiter des BAG, des Bundesrats und der TaskForce [hätten] es seit Inkrafttreten der Covid-19- Verordnung besondere Lage (SR 818.101.26) unterlassen, diejenigen Menschen, die gemäss Art. 3a und Art. 3b dieser Verordnung von der Mas- kenpflicht ausgenommen sind, zu schützen. Einzig ein Merkblatt, dass sich jedoch nicht ohne besonderen Aufwand auf der Homepage des BAG auf- spüren [lasse], [sei] bezüglich der Maskendispens publiziert [worden.] […] Unverständlicherweise [sei] darüber hinaus die breite Öffentlichkeit kaum über die klaren Bestimmungen bzgl. Maskenbefreiung informiert [worden]. Als Konsequenz dieser Vernachlässigung [würden] viele physisch und psy-</w:t>
      </w:r>
    </w:p>
    <w:p>
      <w:r>
        <w:t>- 5 -</w:t>
      </w:r>
    </w:p>
    <w:p>
      <w:r>
        <w:t>chisch beeinträchtigte Menschen in der Schweiz, die nachweislich aus ge- sundheitlichen Gründen keine Maske tragen dürfen, im Alltag Diskriminie- rung, Beschimpfung, Nötigung, Drohung, Unterlassung von medizinischen Hilfeleistung [erleben] oder [würden] gar Opfer von Freiheitsberaubung und Körperverletzung. Bis anhin [habe] es weder der Bundesrat noch das BAG im Rahmen der vielen Medienkonferenzen, Artikel, Weisungen, Plakate usw. geschafft bzw. unterlassen, die Bewohner der Schweiz darauf hinzu- weisen, dass es auch Menschen gibt, die aus gesundheitlichen Gründen keine Masken tragen dürfen […]. Damit [nehme] es die Behörde u.a. in Kauf, Menschen, die bereits schwere gesundheitliche Einschränkungen aufweisen und die unmittelbar und konkret mit ihrer Gesundheit tatsächlich bedroht sind, von ihren Mitmenschen im Alltag beschimpft, bespuckt, aus- gegrenzt und bei der Polizei diffamiert zu werden […].» Es gäbe «keinen gesamtschweizerisch oder kantonal gültigen Erlass, der bestimm[e], wer überhaupt zu Attestprüfungen befugt ist».</w:t>
      </w:r>
    </w:p>
    <w:p>
      <w:r>
        <w:t>Eine gegen die Beschwerdeführerin erfolgte Drohung, Tätlichkeit oder ein- fache Körperverletzung beschreibt die Strafanzeige nicht. In ihrer Be- schwerde vom 22. Juli 2021 lässt die Beschwerdeführerin einen Vorfall vom</w:t>
      </w:r>
    </w:p>
    <w:p>
      <w:r>
        <w:rPr>
          <w:b/>
        </w:rPr>
        <w:t>E. 6</w:t>
      </w:r>
    </w:p>
    <w:p>
      <w:r>
        <w:t>Aufgrund ihres Unterliegens ist der Beschwerdeführerin für das Beschwer- deverfahren keine Entschädigung zuzusprechen (Art. 436 Abs. 1 i. V. m. Art. 433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