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BB.2021.177 vom 15. Juli 2021</w:t>
      </w:r>
    </w:p>
    <w:p>
      <w:r>
        <w:t>Bundesstrafgericht, 2021-07-15, DE</w:t>
      </w:r>
    </w:p>
    <w:p>
      <w:r>
        <w:rPr>
          <w:b/>
        </w:rPr>
        <w:t xml:space="preserve">Quelle: </w:t>
      </w:r>
      <w:r>
        <w:t>https://mcp.opencaselaw.ch/entscheid/bstger_BB.2021.177</w:t>
      </w:r>
    </w:p>
    <w:p>
      <w:r>
        <w:t>FR: TPF BB.2021.177 du 15 juillet 2021</w:t>
      </w:r>
    </w:p>
    <w:p>
      <w:r>
        <w:t>IT: TPF BB.2021.177 del 15 luglio 2021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Bundesstraf- verfahren [BStKR; SR 173.713.162]);</w:t>
      </w:r>
    </w:p>
    <w:p>
      <w:r>
        <w:t>- vorliegend aber auch keine Entschädigung auszurichten ist; der Gesuchsteller nicht in Abrede stellt, anlässlich der erwähnten Einvernahme vom 21. Juni 2021 zumindest zunächst den Ausstand von B. verlangt zu haben; er nicht geltend macht, anlässlich der erwähnten Einvernahme vom 21. Juni 2021 oder in der Folge darauf zurückgekommen zu sein; diese Umstände eine Deutung als Ausstandsge- such zuliess; zudem nicht ersichtlich ist, dass die zwei Eingaben des Rechtsbei- stands des Gesuchstellers (act. 5, 6) einen nennenswerten entschädigungsbe- rechtigten Aufwand verursacht haben;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