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BB.2021.176 vom 28. Februar 2022</w:t>
      </w:r>
    </w:p>
    <w:p>
      <w:r>
        <w:t>Bundesstrafgericht, 2022-02-28, DE</w:t>
      </w:r>
    </w:p>
    <w:p>
      <w:r>
        <w:rPr>
          <w:b/>
        </w:rPr>
        <w:t xml:space="preserve">Quelle: </w:t>
      </w:r>
      <w:r>
        <w:t>https://mcp.opencaselaw.ch/entscheid/bstger_BB.2021.176</w:t>
      </w:r>
    </w:p>
    <w:p>
      <w:r>
        <w:t>FR: TPF BB.2021.176 du 28 février 2022</w:t>
      </w:r>
    </w:p>
    <w:p>
      <w:r>
        <w:t>IT: TPF BB.2021.176 del 28 febbraio 2022</w:t>
      </w:r>
    </w:p>
    <w:p>
      <w:pPr>
        <w:pStyle w:val="Heading2"/>
      </w:pPr>
      <w:r>
        <w:t>Regeste</w:t>
      </w:r>
    </w:p>
    <w:p>
      <w:r>
        <w:t>Ausstand der Bundesanwaltschaft (Art. 59 Abs. 1 lit. b i.V.m. Art. 56 StPO); unentgeltliche Rechtspflege (Art. 29 Abs. 3 BV)</w:t>
      </w:r>
    </w:p>
    <w:p>
      <w:pPr>
        <w:pStyle w:val="Heading2"/>
      </w:pPr>
      <w:r>
        <w:t>Erwägungen</w:t>
      </w:r>
    </w:p>
    <w:p>
      <w:r>
        <w:rPr>
          <w:b/>
        </w:rPr>
        <w:t>E. 1</w:t>
      </w:r>
    </w:p>
    <w:p>
      <w:r>
        <w:t>Der Gesuchsteller bedient sich im vorliegenden Verfahren der französischen Sprache. Die von der Bundesanwaltschaft gestützt auf Art. 3 Abs. 2 StBOG bestimmte Verfahrenssprache im Verfahren Nr. SV.17.0026 ist Deutsch. Nach konstanter Praxis der Beschwerdekammer definiert die Sprache des angefochtenen Entscheids bzw. die Verfahrenssprache der diesem zu Grunde liegenden Untersuchung die Sprache im Beschwerdeverfahren (vgl. Beschluss des Bundesstrafgerichts BB.2020.89 vom 9. September 2020 E. 1 mit Hinweisen). Für ein ausnahmsweises Abweichen besteht vorliegend kein Anlass. Die in einer anderen Amtssprache gehaltenen Eingaben der</w:t>
      </w:r>
    </w:p>
    <w:p>
      <w:r>
        <w:t>- 3 -</w:t>
      </w:r>
    </w:p>
    <w:p>
      <w:r>
        <w:t>Parteien werden jedoch ohne Weiteres entgegengenommen (Art. 6 des Bun- desgesetzes vom 5. Oktober 2007 über die Landessprachen und die Ver- ständigung zwischen den Sprachgemeinschaften [Sprachengesetz, SpG; SR 441.1]; vgl. hierzu auch TPF 2014 161).</w:t>
      </w:r>
    </w:p>
    <w:p>
      <w:r>
        <w:rPr>
          <w:b/>
        </w:rPr>
        <w:t>E. 2</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3</w:t>
      </w:r>
    </w:p>
    <w:p>
      <w:r>
        <w:t>Der Gesuchsteller ist beschuldigte Person im Verfahren Nr. SV.17.0026. Er macht geltend, die Gesuchsgegnerin sei befangen im Sinne von Art. 56 lit. f StPO. Zum Anlass seines Ausstandsgesuchs nimmt der Gesuchsteller den Umstand, dass es die Gesuchsgegnerin anlässlich der Einvernahme von C. vom 30. Juni 2021 abgelehnt habe, dem Gesuchsteller zu erlauben, C. ver- fahrensrelevante Dokumente vorzulegen (act. 1 S. 9). Der Gesuchsteller hat das Ausstandsgesuch noch während der Einvernahme vom 30. Juni 2021 zu Protokoll gegeben bzw. am 5. Juli 2021 schriftlich begründet und der Ver- fahrensleitung unterbreitet. Auf das Gesuch ist einzutreten.</w:t>
      </w:r>
    </w:p>
    <w:p>
      <w:r>
        <w:rPr>
          <w:b/>
        </w:rPr>
        <w:t>E. 4.1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w:t>
      </w:r>
    </w:p>
    <w:p>
      <w:r>
        <w:t>- 4 -</w:t>
      </w:r>
    </w:p>
    <w:p>
      <w:r>
        <w:t>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147 I 173 E. 5.1 S. 178 f.; 144 I 234 E. 5.2 S. 236 f.; 143 IV 69 E. 3.2 S. 74; 141 IV 178 E. 3.2.1; 140 I 326 E. 5.1 S. 328; 138 IV 142 E. 2.1 S. 144 f.; je mit Hinweisen).</w:t>
      </w:r>
    </w:p>
    <w:p>
      <w:r>
        <w:rPr>
          <w:b/>
        </w:rPr>
        <w:t>E. 4.2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 Allgemeine Verfah- rensmassnahmen, seien sie nun richtig oder falsch, vermögen als solche keine Voreingenommenheit der verfahrensleitenden Justizperson zu begrün- den (BGE 138 IV 142 E. 2.3) und sind im Rechtsmittelverfahren zu rügen (Urteil des Bundesgerichts 1B_233/2019 vom 25. September 2019 E. 2.1). Anders verhält es sich, wenn besonders krasse oder wiederholte Irrtümer vorliegen, die eine schwere Verletzung der Amtspflichten darstellen (BGE 143 IV 69 E. 3.2 S. 74 f.; 141 IV 178 E. 3.2.3; 138 IV 142 E. 2.3) und die sich</w:t>
      </w:r>
    </w:p>
    <w:p>
      <w:r>
        <w:t>- 5 -</w:t>
      </w:r>
    </w:p>
    <w:p>
      <w:r>
        <w:t>einseitig zu Lasten einer der Prozessparteien auswirken (Urteil des Bundes- gerichts 1B_164/2015 vom 5. August 2015 E. 3.2; vgl. zum Ganzen zuletzt u.a. Urteil des Bundesgerichts 1B_27/2021 vom 15. März 2021 E. 2.1 f.).</w:t>
      </w:r>
    </w:p>
    <w:p>
      <w:r>
        <w:rPr>
          <w:b/>
        </w:rPr>
        <w:t>E. 5.1</w:t>
      </w:r>
    </w:p>
    <w:p>
      <w:r>
        <w:t>Der Gesuchsteller macht geltend, seit die Gesuchsgegnerin die Verfahrens- leitung Anfang 2018 übernommen habe, verhalte sie sich ihm gegenüber herablassend, ohne jede menschliche Rücksicht und elementarste Höflich- keit. Dies habe ihn schon zu mehreren Ausstandsgesuchen gegen die Ge- suchsgegnerin veranlasst. Zu früheren Verfehlungen der Gesuchsgegnerin komme hinzu, dass er am 17. Mai 2021 beantragt habe, C. zu konkret ange- führten Dokumenten zu befragen. Mit Schreiben vom 14. Juni 2021 habe die Gesuchsgegnerin erklärt, später darüber zu entscheiden. Mit E-Mail vom 29. Juni 2021 habe die Gesuchsgegnerin den Gesuchsteller darüber infor- miert, dass die (rechtshilfeweise) Einvernahme vom nächsten Tag diese von C. sein werde. Dabei sei ausgeführt worden, dass erwartet werde, dass C. insbesondere Aussagen über das Zusammenwirken der verschiedenen dem Gesuchsteller unterstellten Dienste der gambischen Polizei- und Gefängnis- behörden mit den Junglers in Zusammenhang mit erwähnten Ereignissen machen könne. Diese Information entspreche nicht dem, was aus den Akten hervorgehe. Die Formulierung widerspiegle die Voreingenommenheit der Gesuchsgegnerin, die ein solches Zusammenwirken insinuiere. Mit den Fra- gen, die sie stelle, strebe sie nicht die Vollständigkeit der Aussagen und die Klärung von Widersprüchen an, wie dies Art. 143 Abs. 5 StPO verlange, son- dern suche einzig danach, ihre Vorurteile zu bestätigen. Nachdem die Ge- suchsgegnerin ihn habe die ersten Fragen stellen lassen, habe sie ihm un- tersagt, damit zu sämtlichen «Investigation Panels», die Gegenstand der Einvernahme gewesen seien, weiterzufahren. So habe die Gesuchsgegnerin willentlich verhindert, dass C. die Dokumente vorgelegt worden seien, die die Gesuchsgegnerin unter Umständen, die unklar blieben, in Gambia erho- ben habe. Die Fragen des Gesuchstellers diesbezüglich seien essenziell für seine Verteidigung gewesen.</w:t>
      </w:r>
    </w:p>
    <w:p>
      <w:r>
        <w:rPr>
          <w:b/>
        </w:rPr>
        <w:t>E. 5.2</w:t>
      </w:r>
    </w:p>
    <w:p>
      <w:r>
        <w:t>Zunächst ist festzuhalten, dass der Auffassung der Gesuchsgegnerin, dass Vorwürfe, die länger zurückliegen, unbeachtlich seien, so nicht gefolgt wer- den kann. Begründen mehrere Vorkommnisse erst zusammen den Aus- standsgrund, können auch zurückliegende, früher bereits bekannte Tatsa- chen geltend gemacht werden (KELLER, Zürcher Kommentar, 3. Aufl. 2020, Art. 58 StPO N. 3; vgl. Urteil des Bundesgerichts 1B_266/2020 vom 22. De- zember 2020 E. 4.2 f.).</w:t>
      </w:r>
    </w:p>
    <w:p>
      <w:r>
        <w:t>- 6 -</w:t>
      </w:r>
    </w:p>
    <w:p>
      <w:r>
        <w:rPr>
          <w:b/>
        </w:rPr>
        <w:t>E. 5.3</w:t>
      </w:r>
    </w:p>
    <w:p>
      <w:r>
        <w:t>Die pauschale Behauptung, die Gesuchsgegnerin habe wiederholt Einver- nahmeprotokolle nach deren Unterzeichnung verändert bzw. verändern las- sen und Anträge auf Wiederholung von Einvernahmen unbeantwortet lassen (act. 1 S. 3), vermag der Gesuchsteller mit seinen Ausführungen nicht glaub- haft zu machen. Auch die vom Gesuchsteller behaupteten geheimen Unter- suchungshandlungen in Gambia (act. 1 S. 3–7) erscheinen aufgrund der Darstellung des Gesuchstellers nicht glaubhaft. Insbesondere sind in der Darstellung des Gesuchstellers keine Anhaltspunkte ersichtlich, weshalb die zitierte Aktennotiz vom 12. März 2020 den Grund des Aufenthalts vom 17. Juli 2018 in Gambia nicht vollständig wiedergeben solle. Es ist auch nicht einzusehen, weshalb die Umstände, die im Rechtshilfeersuchen an Gambia vom 19. Dezember 2018 angeführt worden seien, zwingend vorangehende, nicht protokollierte Untersuchungshandlungen in Gambia voraussetzten. Ebenso wenig erweist sich die pauschale Behauptung des Gesuchstellers, die Gesuchsgegnerin habe Verfahrensbeteiligte und das Zwangsmassnah- mengericht regelmässig angelogen (act. 1 S. 7), als glaubhaft. Dasselbe gilt für die pauschale Behauptung, sie habe die Ausübung seiner Verteidigungs- rechte systematisch behindert (act. 1 S. 7). Die Behauptung, die Gesuchs- gegnerin habe eine Zeugin der Verteidigung willentlich diskriminiert, indem die Gesuchsgegnerin die Einvernahme in der Schweiz nach schweizeri- schem Verfahrensrecht willentlich habe scheitern lassen und die Zeugin rechtshilfeweise einvernommen habe (act. 1 S. 7), erscheint aufgrund der Ausführungen des Gesuchstellers nicht glaubhaft. Das Gleiche gilt für die Behauptung, die Gesuchsgegnerin habe insbesondere seinen vor rund zwei Jahren gestellten Antrag, ihn zu den von ihm ergriffenen Massnahmen zur Verhinderung von Menschenrechtsverletzungen durch ihm unterstellten Kräften anzuhören, nicht beantwortet (act. 1 S. 8). Schliesslich vermag der Gesuchsteller mit seiner Darstellung auch nicht glaubhaft zu machen, die Gesuchsgegnerin enthalte der amtlichen Verteidigung systematisch Vor- schüsse vor und erschwere dieser so die Wahrnehmung ihrer Aufgabe (act. 1 S. 8) und die Gesuchstellerin habe den Vorwurf, den sie ihm mache, nie konkretisiert (act. 1 S. 9).</w:t>
      </w:r>
    </w:p>
    <w:p>
      <w:r>
        <w:t>Diese geltend gemachten Umstände sind mangels Glaubhaftmachung für die Beurteilung des Anscheins von Befangenheit nicht weiter zu berücksich- tigen.</w:t>
      </w:r>
    </w:p>
    <w:p>
      <w:r>
        <w:rPr>
          <w:b/>
        </w:rPr>
        <w:t>E. 5.4</w:t>
      </w:r>
    </w:p>
    <w:p>
      <w:r>
        <w:t>Was die Vorkommnisse anlässlich der Einvernahme von C. angeht, legt die Gesuchsgegnerin das Rahmenprotokoll der rechthilfeweisen Einvernahme von C. vom 30. Juni 2021 ins Recht. Daraus geht hervor, dass die (in der Schweiz anwesende) Verteidigung des Gesuchstellers um 14.16 Uhr be- gann, der (in Gambia anwesenden) Auskunftsperson Ergänzungsfragen zu</w:t>
      </w:r>
    </w:p>
    <w:p>
      <w:r>
        <w:t>- 7 -</w:t>
      </w:r>
    </w:p>
    <w:p>
      <w:r>
        <w:t>stellen. Dabei wünschte die Verteidigung während der Ergänzungsfragen mehrfach, dass der Auskunftsperson Dokumente aus der Rubrik B18-201- 02 vorgelegt werden und sie gefragt werde, ob sie diese Unterlagen wieder- erkenne und ob dies Beilagen «des/der Report/s des Panels» seien. Die (in der Schweiz anwesende) Staatsanwältin des Bundes D. machte die Vertei- digung darauf aufmerksam, dass diese Rubrik mehr als 1000 Seiten bein- halte und sie gehalten sei, Ergänzungsfragen mit einem konkreten sachli- chen Zusammenhang zu stellen. Entsprechend dem Antrag der Verteidigung wurden der Auskunftsperson auf einem Laptop die Dokumente B18-201-02-</w:t>
      </w:r>
    </w:p>
    <w:p>
      <w:r>
        <w:rPr>
          <w:b/>
        </w:rPr>
        <w:t>E. 5.5</w:t>
      </w:r>
    </w:p>
    <w:p>
      <w:r>
        <w:t>Das Ausstandsverfahren dient nicht dazu, allgemeine Verfahrensmassnah- men, wie die im Raum stehende Einvernahme vom 30. Juni 2021, zu beur- teilen. Besonders krasse oder ungewöhnlich häufige Fehlleistungen der Un- tersuchungsleitung, welche bei gesamthafter Würdigung eine schwere Ver- letzung der Amtspflichten darstellen und sich einseitig zulasten einer der Prozessparteien auswirken, sind in der Art der Untersuchungsführung wäh- rend der Einvernahme vom 30. Juni 2021 nicht zu erkennen. Das Fragerecht besteht nicht schrankenlos. Die Verfahrensleitung kann ungeeignete, unzu-</w:t>
      </w:r>
    </w:p>
    <w:p>
      <w:r>
        <w:t>- 9 -</w:t>
      </w:r>
    </w:p>
    <w:p>
      <w:r>
        <w:t>lässige oder nicht den Verfahrensgegenstand betreffende Fragen zurückwei- sen (SCHLEIMINGER METTLER, Basler Kommentar, 2. Aufl. 2014, Art. 147 StPO N. 8; vgl. Botschaft vom 21. Dezember 2005 zur Vereinheitlichung des Strafprozessrechts, BBl 2006 1085, 1187; THORMANN/MÉGEVAND, Commen- taire romand, 2. Aufl. 2019, Art. 147 StPO N. 9). Die vom Beschwerdeführer geltend gemachten Umstände vermögen keinen Ausstand zu begründen. Damit erweist sich auch der beantragte Beizug der audiovisuellen Aufzeich- nung der Einvernahme (act. 5 S. 5) als nicht erforderlich.</w:t>
      </w:r>
    </w:p>
    <w:p>
      <w:r>
        <w:rPr>
          <w:b/>
        </w:rPr>
        <w:t>E. 5.6</w:t>
      </w:r>
    </w:p>
    <w:p>
      <w:r>
        <w:t>Nach dem Gesagten erweist sich das Ausstandsgesuch als unbegründet. Es ist abzuweisen.</w:t>
      </w:r>
    </w:p>
    <w:p>
      <w:r>
        <w:t>6.</w:t>
      </w:r>
    </w:p>
    <w:p>
      <w:r>
        <w:t>6.1 Der Gesuchsteller ersucht um Gewährung der unentgeltlichen Rechtspflege (BP.2021.68, act. 1 S. 6).</w:t>
      </w:r>
    </w:p>
    <w:p>
      <w:r>
        <w:t>6.2 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Gemäss der bundesgerichtlichen Rechtsprechung sind Prozessbe- gehren als aussichtslos anzusehen, wenn die Gewinnaussichten beträchtlich geringer erscheinen als die Verlustgefahren. Dagegen gilt ein Begehren nicht als aussichtslos gilt, wenn sich Gewinnaussichten und Verlustgefahren ungefähr die Waage halten oder jene nur wenig geringer sind als diese (BGE 142 III 138 E. 5.1 S. 139 f.; 140 V 521 E. 9.1).</w:t>
      </w:r>
    </w:p>
    <w:p>
      <w:r>
        <w:t>6.3 Nach dem oben Ausgeführten erweist sich das Ausstandsgesuch als aus- sichtslos, weshalb das Gesuch um unentgeltliche Rechtspflege unbesehen der finanziellen Verhältnisse des Gesuchstellers abzuweisen ist.</w:t>
      </w:r>
    </w:p>
    <w:p>
      <w:r>
        <w:rPr>
          <w:b/>
        </w:rPr>
        <w:t>E. 0007</w:t>
      </w:r>
    </w:p>
    <w:p>
      <w:r>
        <w:t>bis B18-201-02-151 gezeigt. Es zeigte sich, dass die Auskunftsperson angesichts der ihr gezeigten Dokumente wiederholend erklärte, dass sie sich nicht erinnern könne, was alles den «Reports» beigelegt worden sei. Die Auskunftsperson bestätigte mehrfach, dass die «Reports» mit den «Fin- dings» korrekt seien und die darin aufgeführten Inhalte vom «Panel» durch- geführt worden seien. Die Verteidigung wurde deswegen von D. darauf hin- gewiesen, dass es angesichts der fortgeschrittenen Zeit und dem bisherigen Ergebnis der Vorhalte nicht als zielführend erachtet werde, in dieser Form mit Ergänzungsfragen zu den weiteren rund 1000 Seiten fortzufahren. Die Verteidigung sei gehalten, gezielte, spezifische Fragen zu solchen Doku- menten zu stellen. Die Verteidigung erklärte, dass sie in dieser Art und Weise mit den Ergänzungsfragen fortzufahren gedenke. D. erklärte der Verteidi- gung, dass dies mit der (in Gambia anwesenden) Gesuchsgegnerin abge- sprochen werde. Nach einer Pause beantragte die Verteidigung, der Aus- kunftsperson seien die Dokumente B18-201-02-0162 bis B18-201-02-0208 vorzulegen, damit bestätigt werden könne, dass diese in Zusammenhang mit den Untersuchungen des «Investigation Panels» stünden. Nachdem bereits mehrere Dutzend Dokumente der Auskunftsperson vorgelegt worden waren, machte die Gesuchsgegnerin die Verteidigung darauf aufmerksam, dass der Auskunftsperson wegen des grossen Umfangs der genannten Rubrik nicht sämtliche Dokumente vorgelegt werden könnten, die Verteidigung aber spe- zifische Unterlagen benennen könne und diese der Auskunftsperson vorge- legt würden. Die Gesuchsgegnerin hielt zum Antrag der Verteidigung, der Auskunftsperson die Dokumente B18-201-02-0162 bis B18-201-02-0208 vorzulegen, fest, dass sie vorschlage, dass von nun an die Auskunftsperson in Zusammenhang mit den einzelnen «Reports» befragt werden könne und spezifische Dokumente, zu welchen die Verteidigung Fragen habe, der Aus- kunftsperson vorgelegt werden können. Die Gesuchsgegnerin werde voran zu den einzelnen «Reports» die Frage stellen, ob die nötigen Untersu- chungshandlungen getätigt worden und deren Ergebnisse in den «Report» eingeflossen seien. Der Auskunftsperson würden daher nicht mehr «in globo» alle Dokumente aus der genannten Rubrik vorgelegt werden, dies habe sich nicht als zielführend erwiesen. Der Antrag der Verteidigung, diese</w:t>
      </w:r>
    </w:p>
    <w:p>
      <w:r>
        <w:t>- 8 -</w:t>
      </w:r>
    </w:p>
    <w:p>
      <w:r>
        <w:t>Dokumente vorzulegen, werde abgewiesen. Die Verteidigung wendete ein, für den Gesuchsteller sei es von ausserordentlicher Wichtigkeit zu wissen, ob diese Dokumente im Rahmen der Untersuchung der «Panel of Investiga- tors» erhoben worden seien. Die Gesuchsgegnerin wies darauf hin, dass sich aus den «Reports» ergebe, welche Untersuchungshandlungen vorge- nommen worden seien, und sich somit die Herkunft der Dokumente aus den Akten ergebe. Ebenso wies die Gesuchsgegnerin darauf hin, dass sich aus den Akten der Rubrik B18-201-02 ergebe, dass nicht alle Dokumente der betreffenden Rubrik B18-201-02 als Beilagen von einem spezifischen «Re- port» zu verstehen seien. Die Verteidigung bemerkte, dass das von der Ge- suchsgegnerin vorgeschlagene Vorgehen nicht vereinbar sei mit den Vertei- digungsrechten des Beschuldigten und verwies auf Art. 6 StPO. Die Vertei- digung kündigte an, wenn die Ergänzungsfragen nicht wie gewünscht ge- stellt werden könnten, werde sie ein erneutes Ausstandsgesuch gegen die Gesuchsgegnerin stellen. Die Verteidigung stellte den Antrag, es seien der Auskunftsperson die Dokumente B18-201-02-0215 bis B18-201-02-0242 vorzulegen. Die Gesuchsgegnerin wiederholte, die Dokumente seien genau anzugeben und es seien dazu spezifische Fragen zu stellen. Die Verteidi- gung teilte mit, sie wolle auf die gleiche Art und Weise wie bisher Fragen stellen und der Auskunftsperson alle Dokumente zeigen lassen, damit sie sagen könne, ob diese Unterlagen Beilagen der «Reports» gewesen seien. Die Gesuchsgegnerin informierte die Verteidigung dahingehend, dass das von der Verteidigung gewünschte Vorgehen in dieser allgemeinen Art nicht weitergeführt werde. Spezifische Zusatzfragen zu einzelnen Dokumenten, wenn sie sachbezogen seien, würden zugelassen werden. Die Verteidigung erklärte, dass sie demnach ein Ausstandsgesuch gegen die Gesuchsgegne- rin stellen werde, wenn so fortgefahren werde. Auf mehrfache Nachfrage be- stätigte die Verteidigung, ein Ausstandsgesuch gegen die Gesuchsgegnerin zu stellen. Im Anschluss, von 17.08 Uhr bis ca. 18.20 Uhr und von 19.22 Uhr bis ca. 19.32 Uhr, fuhr mehrheitlich die Verteidigung mit ihren Ergänzungs- fragen fort, wobei die Vorlage diverser Dokumente mit Verweisung auf die vorhergehende Begründung abgelehnt wurde (act. 3.1 S. 5 ff.).</w:t>
      </w:r>
    </w:p>
    <w:p>
      <w:r>
        <w:rPr>
          <w:b/>
        </w:rPr>
        <w:t>E. 7</w:t>
      </w:r>
    </w:p>
    <w:p>
      <w:r>
        <w:t>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