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BB.2021.172 vom 13. Juli 2021</w:t>
      </w:r>
    </w:p>
    <w:p>
      <w:r>
        <w:t>Bundesstrafgericht, 2021-07-13, DE</w:t>
      </w:r>
    </w:p>
    <w:p>
      <w:r>
        <w:rPr>
          <w:b/>
        </w:rPr>
        <w:t xml:space="preserve">Quelle: </w:t>
      </w:r>
      <w:r>
        <w:t>https://mcp.opencaselaw.ch/entscheid/bstger_BB.2021.172</w:t>
      </w:r>
    </w:p>
    <w:p>
      <w:r>
        <w:t>FR: TPF BB.2021.172 du 13 juillet 2021</w:t>
      </w:r>
    </w:p>
    <w:p>
      <w:r>
        <w:t>IT: TPF BB.2021.172 del 13 luglio 2021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April 2021 nicht zur Anwendung gelangen kann;</w:t>
      </w:r>
    </w:p>
    <w:p>
      <w:r>
        <w:t>- die Strafkammer auf den Antrag des Beschwerdeführers vom 25. April 2021 daher zu Recht nicht eingetreten ist;</w:t>
      </w:r>
    </w:p>
    <w:p>
      <w:r>
        <w:t>- sich die Beschwerde nach dem Gesagten als offensichtlich unbegründet er- weist, weshalb sie ohne die Durchführung eines Schriftenwechsels abzuwei- sen ist (vgl. Art. 390 Abs. 2 StPO e contrario);</w:t>
      </w:r>
    </w:p>
    <w:p>
      <w:r>
        <w:t>- bei diesem Ausgang des Verfahrens die Gerichtskosten dem unterliegenden Beschwerdeführer aufzuerlegen sind (Art. 428 Abs. 1 StPO);</w:t>
      </w:r>
    </w:p>
    <w:p>
      <w:r>
        <w:t>- die Gerichtsgebühr auf Fr. 400.-- festzusetzen (vgl. Art. 73 StBOG und Art. 5 und 8 Abs. 1 des Reglements des Bundesstrafgerichts vom 31. August 2010 über die Kosten, Gebühren und Entschädigungen in Bundesstrafverfahren [BStKR; SR 173.713.162]) und dem Beschwerdeführer aufzuerlegen ist;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