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BB.2021.17 vom 9. Februar 2021</w:t>
      </w:r>
    </w:p>
    <w:p>
      <w:r>
        <w:t>Bundesstrafgericht, 2021-02-09, FR</w:t>
      </w:r>
    </w:p>
    <w:p>
      <w:r>
        <w:rPr>
          <w:b/>
        </w:rPr>
        <w:t xml:space="preserve">Quelle: </w:t>
      </w:r>
      <w:r>
        <w:t>https://mcp.opencaselaw.ch/entscheid/bstger_BB.2021.17</w:t>
      </w:r>
    </w:p>
    <w:p>
      <w:r>
        <w:t>FR: TPF BB.2021.17 du 9 février 2021</w:t>
      </w:r>
    </w:p>
    <w:p>
      <w:r>
        <w:t>IT: TPF BB.2021.17 del 9 febbraio 2021</w:t>
      </w:r>
    </w:p>
    <w:p>
      <w:pPr>
        <w:pStyle w:val="Heading2"/>
      </w:pPr>
      <w:r>
        <w:t>Regeste</w:t>
      </w:r>
    </w:p>
    <w:p>
      <w:r>
        <w:t>Remplacement du défenseur d'office (art. 134 al. 2 CPP), classement de la procédure (art. 322 al. 2 CPP), mise des frais à la charge du prévenu en cas de classement de la procédure (art. 426 al. 2 en lien avec l'art. 310 al. 2 CPP), indemnisation du prévenu en cas de classement (art. 429 ss CPP), effet suspensif (art. 387 CPP).</w:t>
      </w:r>
    </w:p>
    <w:p>
      <w:pPr>
        <w:pStyle w:val="Heading2"/>
      </w:pPr>
      <w:r>
        <w:t>Erwägungen</w:t>
      </w:r>
    </w:p>
    <w:p>
      <w:r>
        <w:rPr>
          <w:b/>
        </w:rPr>
        <w:t>E. 1.1</w:t>
      </w:r>
    </w:p>
    <w:p>
      <w:r>
        <w:t>En tant qu’autorité de recours, la Cour des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rPr>
          <w:b/>
        </w:rPr>
        <w:t>E. 1.2</w:t>
      </w:r>
    </w:p>
    <w:p>
      <w:r>
        <w:t>Les parties peuvent interjeter recours contre des ordonnances de classement rendues par le MPC par devant la Cour de céans (art. 322 al. 2 en relation avec les art. 393 al. 1 let. a CPP, 37 al. 1 de la loi fédérale du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w:t>
      </w:r>
    </w:p>
    <w:p>
      <w:r>
        <w:t>- 4 -</w:t>
      </w:r>
    </w:p>
    <w:p>
      <w:r>
        <w:t>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d’une décision (art. 382 al. 1 CPP; arrêt du Tribunal fédéral 1B_458/2013 du 6 mars 2014 consid. 2.1). Il est de jurisprudence constante, que l’intérêt juridiquement protégé doit être actuel et pratique (arrêt du Tribunal fédéral 6B_798/2015 du 22 juillet 2016 consid. 4.2.3 et référence citée; décision du Tribunal pénal fédéral BB.2017.44 du 10 août 2017 consid. 1.3 et références citées; LIEBER, Kommentar StPO, 2e éd. 2014, n° 7 ad art. 382 CPP). Les tribunaux doivent trancher uniquement des questions concrètes et non pas prendre des décisions purement théoriques (ATF 136 I 274 consid. 1.3; arrêt du Tribunal fédéral 1B_669/2012 du 12 mars 2013 consid. 2.3.1). Le recourant doit ainsi être directement atteint dans ses droits par une décision qui lui cause une lésion et doit avoir un intérêt à ce que le préjudice causé par l’acte qu’il attaque soit éliminé (décision du Tribunal pénal fédéral BB.2012.188 du 23 juillet 2013 consid. 4.1 et références citées).</w:t>
      </w:r>
    </w:p>
    <w:p>
      <w:r>
        <w:rPr>
          <w:b/>
        </w:rPr>
        <w:t>E. 1.4.1</w:t>
      </w:r>
    </w:p>
    <w:p>
      <w:r>
        <w:t>En l’espèce, B. Ltd n’est pas touchée par l’ordonnance attaquée. Elle sollicite la levée d’un séquestre à hauteur de EUR 150'000.--. Or, ce point ne fait pas partie du dispositif de la décision attaquée, et le MPC précise dans dite décision qu’il n’y a pas lieu de statuer à cet égard, dans la mesure où ce séquestre fait l’objet de la procédure SK.2019.12, actuellement pendante devant la CAP-TPF. Faute de disposer d’un intérêt juridique à l’annulation de l’ordonnance, le recours de B. Ltd doit partant être déclaré irrecevable.</w:t>
      </w:r>
    </w:p>
    <w:p>
      <w:r>
        <w:rPr>
          <w:b/>
        </w:rPr>
        <w:t>E. 1.4.2</w:t>
      </w:r>
    </w:p>
    <w:p>
      <w:r>
        <w:t>A. quant à lui ne conteste pas réellement le classement en tant que tel, mais il reproche au MPC de lui avoir mis les frais de procédure d’un montant de CHF 1'500.-- à charge, et de ne pas lui avoir octroyé d’indemnité en réparation du tort moral, à hauteur de CHF 10'000.--. Dans ces conditions et pour ces aspects, le recourant est lésé et dispose d’un intérêt juridiquement protégé et partant de la qualité pour recourir (décision du Tribunal pénal fédéral BB.2019.286 du 2 septembre 2020 consid. 1.4). Cependant, en tant qu’il concerne la révocation de son défenseur d’office, faute de décision sur ce point, le recours est irrecevable.</w:t>
      </w:r>
    </w:p>
    <w:p>
      <w:r>
        <w:rPr>
          <w:b/>
        </w:rPr>
        <w:t>E. 1.5</w:t>
      </w:r>
    </w:p>
    <w:p>
      <w:r>
        <w:t>Interjeté dans le délai de 10 jours, le recours est recevable. Il y a lieu d’entrer en matière dans la mesure précisée supra (cf. consid. 1.4).</w:t>
      </w:r>
    </w:p>
    <w:p>
      <w:r>
        <w:t>- 5 -</w:t>
      </w:r>
    </w:p>
    <w:p>
      <w:r>
        <w:rPr>
          <w:b/>
        </w:rPr>
        <w:t>E. 2</w:t>
      </w:r>
    </w:p>
    <w:p>
      <w:r>
        <w:t>Le recourant reproche au MPC d’avoir mis les frais de procédure – arrêtés à CHF 1'500.-- – à sa charge. Il soutient qu’il est totalement innocent et qu’il n’y a aucune preuve « indépendante » démontrant le contraire. Contrairement aux affirmations du MPC, seule la République de Chypre serait compétente pour constater qu’un document apostillé est un faux (act. 1, p. 4-5).</w:t>
      </w:r>
    </w:p>
    <w:p>
      <w:r>
        <w:rPr>
          <w:b/>
        </w:rPr>
        <w:t>E. 2.1.1</w:t>
      </w:r>
    </w:p>
    <w:p>
      <w:r>
        <w:t>Aux termes de l'art. 426 CPP, le prévenu supporte les frais de la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rPr>
          <w:b/>
        </w:rPr>
        <w:t>E. 2.1.2</w:t>
      </w:r>
    </w:p>
    <w:p>
      <w:r>
        <w:t>Il n'est pas contraire à la règle de la présomption d'innocence de condamner le prévenu mis au bénéfice d'un non-lieu à tout ou partie des frais de la procédure lorsque cette condamnation est motivée par un comportement condamnable de l'intéressé (ATF 119 Ia 332 consid. 1b). En effet, ce n'est pas à l'Etat, et partant aux contribuables, de supporter les frais d'une procédure provoquée par le comportement blâmable d'un justiciable (ATF 107 Ia 166 consid. 3). Mettre les frais de l'Etat à la charge du prévenu acquitté ne doit en aucune manière constituer une peine déguisée qui laisserait supposer que l'accusé est coupable ou qu'à tout le moins il subsiste un soupçon (PIQUEREZ/MACALUSO, Procédure pénale suisse, 3e éd. 2011, n° 565 p. 194). Ainsi, il n'est justifié de mettre les frais à la charge d'un prévenu acquitté que si son comportement, sans être pénalement punissable, viole des obligations légales. Le paiement des frais d'enquête par le prévenu qui a provoqué ou compliqué celle-ci exige une responsabilité proche du droit civil née d'un comportement illicite (ATF 116 Ia 162 consid. 2c-e et la jurisprudence citée). Dès lors faut-il que ce dernier ait clairement violé une norme de comportement écrite ou non écrite résultant de l'ordre juridique suisse pris dans son ensemble, d'une manière répréhensible au regard du droit civil, dans le sens d'une application analogique de l'art. 41 du Code des obligations (CO; RS 220), étant toutefois précisé que la faute exigée doit s'apprécier selon des critères objectifs (FONTANA, Commentaire romand, 2e éd. 2019, n° 2 ad art. 426 CPP). Si l'on se réfère au droit civil, on doit admettre que le comportement d'un prévenu est illicite lorsqu'il viole manifestement une obligation juridique directe ou indirecte d'agir ou d'omettre d'agir (normes de comportement). A ces normes appartient notamment l'important principe non écrit selon lequel celui qui crée ou maintient une situation dangereuse doit prendre les mesures nécessaires à la protection des tiers. En font également partie le respect de</w:t>
      </w:r>
    </w:p>
    <w:p>
      <w:r>
        <w:t>- 6 -</w:t>
      </w:r>
    </w:p>
    <w:p>
      <w:r>
        <w:t>la bonne foi (art. 2 al. 1 du Code civil [CC; RS 210]) et l'usage d'un droit conformément à celle-ci (art. 2 al. 2 CC; ATF 116 Ia 162 consid. 2c-e et la jurisprudence citée; v. aussi art. 5 al. 3 Cst.). Il faut encore une relation de causalité entre le comportement du prévenu et l'ouverture de l'enquête ou les obstacles mis à celle-ci. Tel est le cas lorsque ce dernier a violé des prescriptions écrites ou non écrites, communales, cantonales ou fédérales, et qu'il a fait naître ainsi, selon le cours ordinaire des choses et l'expérience de la vie, le soupçon d'un comportement punissable justifiant l'ouverture d'une enquête pénale ou l'aggravation de celle-ci (ATF 114 Ia 299 consid. 4). Il ne suffit toutefois pas que l'attitude du prévenu contrevienne à l'éthique (ATF 116 Ia 162 consid. 2b; FONTANA, loc. cit.). Il faut encore observer à ce sujet qu'une condamnation aux frais ne peut se justifier que si, en raison du comportement illicite du prévenu, l'autorité était légitimement en droit d'ouvrir une enquête. Une condamnation aux frais est en tout cas exclue lorsque l'autorité est intervenue par excès de zèle, mauvaise analyse de la situation ou précipitation. Ces réserves se justifient d'autant plus que la condamnation aux frais d'un prévenu libéré ne peut intervenir qu'exceptionnellement (ATF 116 Ia 162 consid. 2c)</w:t>
      </w:r>
    </w:p>
    <w:p>
      <w:r>
        <w:rPr>
          <w:b/>
        </w:rPr>
        <w:t>E. 2.2</w:t>
      </w:r>
    </w:p>
    <w:p>
      <w:r>
        <w:t>En l’espèce, le MPC a retenu que A. avait provoqué l’ouverture de la présente procédure pénale de manière illicite et fautive. La mise en prévention complémentaire du prévenu pour les faits décrits dans l’ordonnance querellée faisait suite, en particulier, à la découverte de la fausseté de la quittance établie et antidatée par A., transmise au MPC le 22 mars 2013 par Me H.. De plus, le 5 juin 2014, le prévenu a produit un faux document intitulé « AFFIDAVIT TO WHOM IT MAY CONCERN », accompagné d’un courrier de Me H. falsifié également, ce qui a alimenté les charges pesant contre lui. En outre, le MPC a dû faire établir un rapport, respectivement un rapport complémentaire, par la PJF constatant le caractère faux des documents confectionnés et/ou produits par le prévenu faussaire. Au surplus, le classement de l’infraction de faux dans les titres reposant sur l’art. 8 al. 2 let. a et b CPP, il s’agit d’un classement « en opportunité », dès lors qu’il a été établi que le document intitulé « AFFIDAVIT TO WHOM IT MAY CONCERN » transmis au MPC par envoi du prévenu du</w:t>
      </w:r>
    </w:p>
    <w:p>
      <w:r>
        <w:rPr>
          <w:b/>
        </w:rPr>
        <w:t>E. 5</w:t>
      </w:r>
    </w:p>
    <w:p>
      <w:r>
        <w:t>Il résulte de ce qui précède que le recours, manifestement infondé, doit être rejeté, sans échange d’écritures (art. 390 al. 2 CPP a contrario), et l’ordonnance du 6 janvier 2021 confirmée.</w:t>
      </w:r>
    </w:p>
    <w:p>
      <w:r>
        <w:rPr>
          <w:b/>
        </w:rPr>
        <w:t>E. 6</w:t>
      </w:r>
    </w:p>
    <w:p>
      <w:r>
        <w:t>La requête tendant à l’octroi de l’effet suspensif est dorénavant sans objet (BP.2021.4-5).</w:t>
      </w:r>
    </w:p>
    <w:p>
      <w:r>
        <w:rPr>
          <w:b/>
        </w:rPr>
        <w:t>E. 7</w:t>
      </w:r>
    </w:p>
    <w:p>
      <w:r>
        <w:t>Au vu de ce qui précède, les frais de la présente procédure sont mis à la charge des recourants conformément à l’art. 428 CPP. En application des art. 73 al. 2 LOAP, ainsi que des art. 5 et 8 al. 1 du règlement du Tribunal pénal fédéral sur les frais, émoluments, dépens et indemnités de la procédure pénale fédérale (RFPPF; RS 173.713.162), ils seront fixés à CHF 2'000.--, à la charge solidaire des recourants.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