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BB.2021.162 vom 17. Juni 2021</w:t>
      </w:r>
    </w:p>
    <w:p>
      <w:r>
        <w:t>Bundesstrafgericht, 2021-06-17, DE</w:t>
      </w:r>
    </w:p>
    <w:p>
      <w:r>
        <w:rPr>
          <w:b/>
        </w:rPr>
        <w:t xml:space="preserve">Quelle: </w:t>
      </w:r>
      <w:r>
        <w:t>https://mcp.opencaselaw.ch/entscheid/bstger_BB.2021.162</w:t>
      </w:r>
    </w:p>
    <w:p>
      <w:r>
        <w:t>FR: TPF BB.2021.162 du 17 juin 2021</w:t>
      </w:r>
    </w:p>
    <w:p>
      <w:r>
        <w:t>IT: TPF BB.2021.162 del 17 giugno 2021</w:t>
      </w:r>
    </w:p>
    <w:p>
      <w:pPr>
        <w:pStyle w:val="Heading2"/>
      </w:pPr>
      <w:r>
        <w:t>Regeste</w:t>
      </w:r>
    </w:p>
    <w:p>
      <w:r>
        <w:t>Verfahrenshandlung der Strafkammer (Art. 20 Abs. 1 lit. a i.V.m. Art. 393 Abs. 1 lit. b StPO). Aufschiebende Wirkung (Art. 387 StPO). Amtliche Verteidigung im Beschwerdeverfahren (Art. 132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Verfahrensleitende Anordnungen der Gerichte können nur mit dem Endent- scheid angefochten werden (Art. 65 Abs. 1 StPO). Dieser unterliegt der Be- rufung (vgl. Art. 398 Abs. 1 StPO). Die Beschwerde ist nicht zulässig, wenn die Berufung möglich ist (Art. 394 lit. a StPO; Art. 20 Abs. 1 lit. a StPO).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(BGE 143 IV 175 E. 2.2 f.; 140 IV 202 E. 2.1; 138 IV 193 E. 4.3/4.4).</w:t>
      </w:r>
    </w:p>
    <w:p>
      <w:r>
        <w:rPr>
          <w:b/>
        </w:rPr>
        <w:t>E. 1.2</w:t>
      </w:r>
    </w:p>
    <w:p>
      <w:r>
        <w:t>Die Anklageerhebung der Staatsanwaltschaft ist nicht anfechtbar (Art. 324 Abs. 2 StPO). Das Strafgericht prüft die eingegangene Anklage (Art. 329 Abs. 1 StPO), namentlich ob ein Urteil ergehen kann. Es hat dazu keine an- fechtbare Verfügung zu ergehen. Mangels Anfechtbarkeit entsteht dem Be- schwerdeführer auch kein Nachteil, wenn die Verfahrensleitung der ersten Instanz das Ergebnis der Vorprüfung nicht festhält, sondern direkt zur Haupt- verhandlung vorlädt (vgl. BGE 141 IV 20 E. 1.5.4). Die Anklagevorprüfung</w:t>
      </w:r>
    </w:p>
    <w:p>
      <w:r>
        <w:t>- 4 -</w:t>
      </w:r>
    </w:p>
    <w:p>
      <w:r>
        <w:t>ist als prozessleitender Entscheid nicht mit Beschwerde anfechtbar (Ur- teil des Bundesgerichts 6B_676/2013 vom 28. April 2014 E. 3.6.4).</w:t>
      </w:r>
    </w:p>
    <w:p>
      <w:r>
        <w:rPr>
          <w:b/>
        </w:rPr>
        <w:t>E. 1.3</w:t>
      </w:r>
    </w:p>
    <w:p>
      <w:r>
        <w:t>Der Beschwerdeführer verlangte am 9. März 2021, die Anklage sei zurück- zuweisen. Darüber erging die Verfügung der Strafkammer vom 31. Mai 2021. Der Beschwerdeführer wünscht eine Überprüfung der Anklagevorprüfung durch die Beschwerdekammer (act. 1 S. 7–12: Verletzung des Anklage- grundsatzes, fehlender rechtsgenüglicher Vorhalt); dies entspricht indes nicht ihrer Rolle. Die Anklage wird im Hauptverfahren der erst- und zweitinstanzlichen Straf- gerichte kritisiert, geprüft, bewertet und beurteilt. Ihr Genügen wie Ungenü- gen (wie auch eine allfällige Änderung und Erweiterung oder Beweisergän- zung) ist ein Kernthema des Haupt- und Berufungsverfahrens. Das erstin- stanzliche Urteil kann im Berufungsverfahren in allen angefochtenen Punk- ten umfassend überprüft werden (vgl. Art. 398 Abs. 2 StPO). Die parallele Überprüfung der Anklagevorprüfung und ihre materielle Würdigung durch eine Beschwerdeinstanz ist im Rechtsmittelsystem der StPO nicht vorgese- hen. Insoweit liegt die Sache anders als im Fall BGE 143 IV 475, wo es um eine Entfernung aus den Akten im Vorverfahren ging. Zwar kann die Rück- weisung der Anklage durch das erstinstanzliche Gericht an die Beschwer- deinstanz weitergezogen werden. Die Prüfungsbefugnis beschränkt sich da- bei im Ergebnis auf die Prüfung, ob das Beschleunigungsgebot (offensicht- lich) verletzt sei (vgl. ANDREAS J. KELLER, Zürcher Kommentar, 3. Aufl. 2020, Art. 393 StPO N. 28; Beschluss des Bundesstrafgerichts BB.2019.215 vom 17. Dezember 2019 E. 2.5, 3.8). Die Beschwerdekammer nimmt keine ma- terielle, ihr nicht zustehende Nachprüfung der Anklagevorprüfung durch die Strafkammer vor. Auf die Beschwerde ist nicht einzutreten.</w:t>
      </w:r>
    </w:p>
    <w:p>
      <w:r>
        <w:rPr>
          <w:b/>
        </w:rPr>
        <w:t>E. 1.4</w:t>
      </w:r>
    </w:p>
    <w:p>
      <w:r>
        <w:t>Mit dem Gesagten wäre bei der Nichtrückweisung auch kein nicht wieder gutzumachender Nachteil für den Beschwerdeführer ersichtlich: Das Be- schleunigungsgebot wird durch die Zulassung der Anklage gar nicht tangiert. Die Parteien können sich im Hauptverfahren zur Anklage äussern. Erwiese sich die Anklage tatsächlich als ungenügend, so erfolgt ein Freispruch. An- dernfalls kann der Beschwerdeführer seine Sache umfassend von der Beru- fungsinstanz beurteilen lassen. Der Beschwerdeführer beruft sich zu Unrecht auf den Beschluss des Bundesstrafgerichts BB.2011.133 vom 20. Dezember 2011 E. 7, 8. Dort ging es nicht um eine Anklagevorprüfung, sondern um eine Sistierung vor dem Hintergrund einer Verfahrensabtrennung und damit um den Grundsatz der Einheit des Verfahrens. Die Vorinstanz ist sich vorliegend zudem bewusst, dass die Anklageschrift dem Erfordernis, die dem Beschuldigten zur Last gelegten Handlungen</w:t>
      </w:r>
    </w:p>
    <w:p>
      <w:r>
        <w:t>- 5 -</w:t>
      </w:r>
    </w:p>
    <w:p>
      <w:r>
        <w:t>«möglichst kurz, aber genau» zu benennen, «stricto sensu» nicht entspricht (vgl. act. 1.2 S. 2 Verfügung vom 31. Mai 2021). Die Vorinstanz verweist dort auch auf die Rechtsprechung, wonach Fussnoten in Anklagen zulässig sind und sie führt aus, die Anklage enthalte keine Beweiswürdigung. Wie es dem Gericht bei dieser Ausgangslage nicht möglich sein soll, den Anklagevorwurf fair zu beurteilen, ist nicht nachvollziehbar.</w:t>
      </w:r>
    </w:p>
    <w:p>
      <w:r>
        <w:rPr>
          <w:b/>
        </w:rPr>
        <w:t>E. 1.5</w:t>
      </w:r>
    </w:p>
    <w:p>
      <w:r>
        <w:t>Damit ist auf die vorliegende Beschwerde ohne Weiteres nicht einzutreten. Insbesondere erübrigt es sich, Akten einzuholen oder einen Schriftenwech- sel durchzuführen. Die entsprechenden Anträge sind abzuweisen. Der An- trag auf aufschiebende Wirkung ist gegenstandslos geworden.</w:t>
      </w:r>
    </w:p>
    <w:p>
      <w:r>
        <w:rPr>
          <w:b/>
        </w:rPr>
        <w:t>E. 2.1</w:t>
      </w:r>
    </w:p>
    <w:p>
      <w:r>
        <w:t>Der Beschwerdeführer hat ein Gesuch um unentgeltliche Prozessführung und amtliche Verteidigung im Beschwerdeverfahren gestellt. Auch wenn die amtliche Verteidigung im Strafverfahren bereits erteilt worden ist, muss diese für das Beschwerdeverfahren separat beantragt und durch die Beschwerde- kammer gewährt werden (BGE 137 IV 215 E. 2.3). Gemäss Art. 132 Abs. 1 lit. b StPO (anwendbar im Beschwerdeverfahren durch Verweis in Art. 379 StPO) ist die amtliche Verteidigung anzuordnen, wenn die beschul- digte Person nicht über die erforderlichen Mittel verfügt und die Verteidigung zur Wahrung ihrer Interessen geboten ist. Zusätzlich wird für die Gewährung der amtlichen Verteidigung im Beschwerdeverfahren verlangt, dass die Be- schwerde nicht aussichtlos sein darf (Urteile des Bundesgerichts 1B_732/2011 vom 19. Januar 2012 E. 7.2; 1B_705/2011 vom 9. Mai 2012 E. 2.3.2). Jede Person, die nicht über die erforderlichen Mittel verfügt, hat Anspruch auf unentgeltliche Rechtspflege, wenn ihr Rechtsbegehren nicht aussichtslos erscheint (Art. 29 Abs. 3 BV).</w:t>
      </w:r>
    </w:p>
    <w:p>
      <w:r>
        <w:rPr>
          <w:b/>
        </w:rPr>
        <w:t>E. 2.2</w:t>
      </w:r>
    </w:p>
    <w:p>
      <w:r>
        <w:t>Ist auf die Beschwerde vorliegend nicht einzutreten, so konnte sie keine Aus- sicht auf Erfolg haben. Das Gesuch im Beschwerdeverfahren um amtliche Verteidigung resp. unentgeltliche Prozessführung ist wegen Aussichtslosig- keit abzuweisen.</w:t>
      </w:r>
    </w:p>
    <w:p>
      <w:r>
        <w:rPr>
          <w:b/>
        </w:rPr>
        <w:t>E. 3</w:t>
      </w:r>
    </w:p>
    <w:p>
      <w:r>
        <w:t>Bei diesem Ausgang des Verfahrens hat der unterliegende Beschwerdefüh- rer die Gerichtskosten zu tragen (vgl. Art. 428 Abs. 1 StPO). Die Gerichtsge- bühr ist auf Fr. 1'000.-- festzusetzen (vgl. Art. 73 StBOG i.V.m. Art. 5 und 8 Abs. 2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