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BB.2021.155 vom 8. Oktober 2021</w:t>
      </w:r>
    </w:p>
    <w:p>
      <w:r>
        <w:t>Bundesstrafgericht, 2021-10-08, FR</w:t>
      </w:r>
    </w:p>
    <w:p>
      <w:r>
        <w:rPr>
          <w:b/>
        </w:rPr>
        <w:t xml:space="preserve">Quelle: </w:t>
      </w:r>
      <w:r>
        <w:t>https://mcp.opencaselaw.ch/entscheid/bstger_BB.2021.155</w:t>
      </w:r>
    </w:p>
    <w:p>
      <w:r>
        <w:t>FR: TPF BB.2021.155 du 8 octobre 2021</w:t>
      </w:r>
    </w:p>
    <w:p>
      <w:r>
        <w:t>IT: TPF BB.2021.155 del 8 ottobre 2021</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de la Confédération [LOAP; RS 173.71]). En vertu de l'art. 39 al. 1 LOAP, la présente procédure est régie par le CPP et la LOAP, sous réserve d'exceptions prévues à l'al. 2, non réalisées en l'espèce. En tant qu'autorité de recours, la présente Cour examine avec plein pouvoir de cognition en fait et en droit les recours qui lui sont soumis (Message du 21 décembre 2005 relatif à l'unification du droit de la procédure pénale, FF 2006 1057, 1296; JdT 2012 IV 5, n. 199). Saisie d'un recours interjeté contre une ordonnance de séquestre, l'examen de la Cour de céans se limite à l'admissibilité de la mesure de contrainte en tant que telle, de sorte qu'il ne lui revient pas de statuer sur le fond de la procédure pénale (TPF 2010 154 consid. 2 et l'arrêt cité).</w:t>
      </w:r>
    </w:p>
    <w:p>
      <w:r>
        <w:rPr>
          <w:b/>
        </w:rPr>
        <w:t>E. 1.2</w:t>
      </w:r>
    </w:p>
    <w:p>
      <w:r>
        <w:t>Toute partie qui a un intérêt juridiquement protégé à l'annulation ou à la modification d'une décision a qualité pour recourir contre celle-ci (art. 382 al. 1 CPP). S'agissant d'une mesure de séquestre d'un compte bancaire, seul le titulaire du compte remplit en principe cette condition, à l'exclusion de l'ayant droit économique, lequel n'est qu'indirectement touché par la mesure de saisie (ATF 133 IV 278 consid. 1.3; arrêts du Tribunal fédéral 1B_607/2019 du</w:t>
      </w:r>
    </w:p>
    <w:p>
      <w:r>
        <w:rPr>
          <w:b/>
        </w:rPr>
        <w:t>E. 1.3</w:t>
      </w:r>
    </w:p>
    <w:p>
      <w:r>
        <w:t>Déposés en temps utile (v. art. 384 et 396 al. 1 CPP) dans les formes requises par la loi (art. 396 al. 1 CPP) par une personne ayant qualité pour recourir (art. 382 al. 1 CPP; v. supra, consid. 1.2), le recours est par conséquent recevable quant à la forme et il y a lieu d'entrer en matière.</w:t>
      </w:r>
    </w:p>
    <w:p>
      <w:r>
        <w:t>2. L'objet du recours vise l’ordonnance du 21 mai 2021, par laquelle le MPC a refusé la levée de séquestre visant les valeurs patrimoniales détenues sur les relations d'affaires n° 1 et n° 2 ouvertes au nom de A. SA auprès de la banque C., dont B. et son beau-frère sont les ayants droit économiques (act. 1). 2.1</w:t>
      </w:r>
    </w:p>
    <w:p>
      <w:r>
        <w:t>2.1.1 En tant que mesure propre à restreindre les droits fondamentaux que sont les garanties de la propriété (art. 26 Cst.)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 du Tribunal pénal fédéral BB.2008.98 du 8 avril 2009 consid. 3).</w:t>
      </w:r>
    </w:p>
    <w:p>
      <w:r>
        <w:t>Ces exigences sont concrétisées par l'art. 197 CPP (VIREDAZ/JOHNER, Commentaire romand, 2e éd. 2019, n. 1 ad art. 197 CPP; BOMMER/GOLDSCHMID, Commentaire bâlois, n. 11 ad Remarques introductives aux art. 263 à 268 CPP et les réf. citées; JEANNERET/KUHN, Précis de procédure pénale, 2e éd. 2018, n. 14066), qui prévoit que les mesures de contrainte, telles que le séquestre, ne peuvent être mises en œuvre notamment que s'il existe des soupçons suffisants laissant présumer une infraction (let. b) et que le principe de la proportionnalité soit respecté (let. c et d). 2.1.2 Le séquestre pénal constitue une mesure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et 71 al. 3 CP; v. ATF 141 IV 360 consid. 3.2; arrêt du Tribunal fédéral 1B_216/2019 et 1B_229/2019 du 24 octobre 2019 consid. 4.1.1).</w:t>
      </w:r>
    </w:p>
    <w:p>
      <w:r>
        <w:t>Dans le cadre de l'examen d'un séquestre conservatoire, l'autorité statue</w:t>
      </w:r>
    </w:p>
    <w:p>
      <w:r>
        <w:t>- 6 -</w:t>
      </w:r>
    </w:p>
    <w:p>
      <w:r>
        <w:t>sous l'angle de la vraisemblance, examinant des prétentions encore incertaines (ATF 141 IV 360 consid. 3.2; 140 IV 57 consid. 4.1.1). Sur ce vu et compte tenu de la célérité avec laquelle l'autorité d'enquête doit agir, celle- 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4.1.2; 139 IV 250 consid. 2.1; 116 Ib 96 consid. 3a; arrêt du Tribunal fédéral 1B_390/2013 du 10 janvier 2014 consid. 2.1). 2.2 Dans un premier moyen, la recourante soutient qu’il n’existe aucun lien entre les fonds versés sur les relations bancaires en cause et les faits sous enquête. Elle conteste se faisant le bien-fondé de la mesure de séquestre frappant les comptes bancaires qu’elle détient auprès de la banque C., dont les valeurs patrimoniales ne seraient pas d’origine criminelle. L’intéressée précise en substance à ce propos que les crédits portés à ses comptes proviennent de versements effectués en faveur de B., d’une part, par la société D. aux titres de salaires et bonus et, d’autre part, par la société E. au titre de sign-up bonus pour son partenariat et potentiel engagement (act. 1, p. 18-26). 2.2.1 Les soupçons suffisants doivent en particulier permettre de suspecter que les valeurs patrimoniales en cause ont servi à commettre une infraction ou en sont le produit. Pour constituer des soupçons suffisants, les indices de la commission de cette infraction doivent être sérieux et concrets (ATF 141 IV 87 consid. 1.3.1 et 1.4.1). Selon la jurisprudence, il n'appartient cependant pas à l'autorité appelée à statuer sur les mesures de contrainte de procéder à une pesée minutieuse des éléments à charge et à décharge, ni à une évaluation complète des différents moyens de preuve disponibles (arrêt du Tribunal fédéral 1B_322/2013 du 20 décembre 2013 consid. 3.1). Il lui incombe uniquement d'examiner si, sur la base des actes d'instruction disponibles, il existe des indices suffisants et concrets de la commission d'une infraction (arrêts du Tribunal fédéral 1B_336/2018 du 8 novembre 2018 consid. 4.2; 1B_98/2018 du 29 mai 2018 consid. 3.2; 1B_249/2015 du 30 mai 2016 consid. 5.5; 1B_322/2013 du 20 décembre 2013 consid. 3.1). Il n'est ainsi pas nécessaire que les soupçons confinent à une certitude quant à la culpabilité du prévenu, cette appréciation relevant de la compétence du juge du fond et non de celle de l'autorité qui statue sur le prononcé d'une mesure de contrainte, telle que le séquestre (ZIMMERLIN, in: Donatsch/Lieber/Summers/Wohlers (éd.), Kommentar zur Schweizerischen Strafprozessordnung, 3e éd. 2020, n. 5 ad art. 197 CPP). En début d'enquête, les exigences quant au fondement des soupçons ne sont pas élevées. Il suffit en effet que le caractère illicite des faits reprochés</w:t>
      </w:r>
    </w:p>
    <w:p>
      <w:r>
        <w:t>- 7 -</w:t>
      </w:r>
    </w:p>
    <w:p>
      <w:r>
        <w:t>soit vraisemblable. De tels soupçons doivent cependant se concrétiser et se renforcer au fur et à mesure que l'instruction avance, de sorte que la perspective d'une condamnation apparaisse de plus en plus plausible (arrêt du Tribunal fédéral 1S.3/2005 du 7 février 2005 consid. 2.3; TPF 2010 154 consid. 2; décision du Tribunal pénal fédéral BB.2006.16 du 24 juillet 2006 consid. 2.1 et les réf. citées). Nonobstant ce qui précède, les exigences relatives au renforcement du soupçon en cours de procédure ne doivent toutefois pas être excessives (TPF 2010 154 consid. 2; TPF 2006 269 consid. 2.2). 2.2.2 En l'espèce, le séquestre litigieux a été ordonné dans le cadre d'une procédure ouverte en juillet 2012 notamment à l’encontre de B. pour soupçons de blanchiment d’argent (art. 305bis CP). Le 22 décembre 2016, l’instruction a été étendue à l’infraction de faux dans les titres (art. 251 CP), puis, le 26 février 2021, à celle de complicité de corruption passive d’agents publics étrangers (322septies al. 2 CP en relation avec l’art. 25 CP). Selon l’argumentation développée par le MPC dans l’ordonnance entreprise, il subsisterait au stade actuel de l’instruction des soupçons suffisants, qui se seraient renforcés en cours d’enquête, selon lesquels les comptes bancaires de la recourante auprès de la banque C. abriteraient des valeurs patrimoniales résultant des actes illicites reprochés. L’autorité intimée soupçonne en particulier B. d’avoir, notamment entre 2005 et 2012, participé aux activités d’une bande organisée, structurée et hiérarchisée, dénommée « l’office », dont la responsable serait F., fille de l’ancien président de la République d’Ouzbékistan. Celle-ci aurait, par l’intermédiaire de son « office » mis en place une structure complexe de sociétés et de personnes, en lien avec plusieurs pays, pour toucher des montants importants de la part de sociétés de télécommunication étrangères, telles que G. LTD (Amsterdam, Pays-Bas), H. (Suède / Pays-Bas) et D. (Russie) désireuses d’entrer et d’opérer sur le marché ouzbek des télécommunications, respectivement de se maintenir sur celui-ci (act. 1.1, p. 3). Les investigations menées en Suisse et à l’étranger ont permis de mettre en évidence que ces trois sociétés de télécommunication ont, dans le but précité payé, entre 2004 et 2012, plus de 800 millions de dollars à des sociétés écrans. Ces fonds aurait ensuite été versés notamment en Suisse sur des comptes bancaires au nom de sociétés de l’« office », dont les ayants droit économiques déclarés étaient des hommes de paille œuvrant en faveur de F., laquelle était la véritable ayant droit économique des fonds. Des paiements corruptifs ont en outre été directement versés en Suisse sur des comptes bancaires contrôlés par F., soit en particulier sur le compte de I. Ltd auprès de la banque J., dont B. figurait faussement comme ayant droit économique sur le formulaire A. Il ressort en outre du dossier que les</w:t>
      </w:r>
    </w:p>
    <w:p>
      <w:r>
        <w:t>- 8 -</w:t>
      </w:r>
    </w:p>
    <w:p>
      <w:r>
        <w:t>autorités américaines ont considéré que B., agissant à la fois en tant que dirigeant de l’une des sociétés de télécommunication et en tant que représentant personnel de F., avait sollicité et facilité le versement de pots- de-vin, par les trois sociétés de télécommunication susmentionnées et leurs filiales en faveur de sociétés écrans contrôlées par cette dernière, qui était à l’époque des faits fonctionnaire du gouvernement ouzbek (act. 1.1, p. 8 s.; pièce MPC 22-00-0379). Les auditions de trois co-prévenus, condamnés par ordonnances pénales des 22 mai 2018 et 3 mars 2020, menées par le MPC ont également apporté les éléments suivants concernant les implications de B. dans l’« office ». En substance, celui-ci aurait endossé le rôle de financier responsable de la gestion des comptes des sociétés étrangères (act. 1.1, p. 8; pièce MPC 18-01-05-0060). A ce titre et en tant que « responsable du secteur des projets de télécommunication de l’"office" », il aurait initié la création des sociétés I. Ltd et K. Corp, dont les fonds proviendraient de l’activité illégale en cause, soit de la vente de fréquence radio et de blocs numériques aux sociétés H., G. Ltd et D.; étant précisé que B. aurait été le « seul à savoir "arranger" ces transactions sous une forme légale » et qu’il aurait personnellement mené les négociations avec les responsables des trois sociétés de télécommunication de même que les entretiens avec les fonctionnaires et responsables des autorités étatiques ouzbeks (act. 1.1, p. 8 s.; pièces MPC 18-01-04-0052 s., 0056, 0065 s. et 0076 s.). S’agissant de la société recourante, l’enquête a mis en évidence que les fonds déposés sur les relations bancaires ouvertes à son nom auprès de la banque C., dont B. est l’un des ayants droit économiques, proviennent du compte bancaire détenu par L. Inc auprès du même institut bancaire et sur lequel aurait été versés des montants provenant des sociétés M. Ltd et N. Ltd. Ces dernières seraient en lien avec la société de télécommunication D., laquelle, selon ses propres déclarations formulées par devant les autorités américaines, aurait pris part à des actes de corruption en faveur de F. Il apparaitrait en outre que les fonds concernés auraient été blanchis, notamment, en Suisse (act. 1.1, p. 9 s.). 2.2.3 Au vu de ce qui précède, il apparaît que le séquestre visant les comptes n° 1 et n° 2 ouverts au nom de la recourante auprès de la banque C. repose, à ce stade de l'instruction et sous l'angle de la vraisemblance, sur des soupçons suffisants de la commission des infractions reprochées et que le lien de connexité entre celles-ci et les valeurs patrimoniales en cause ne peut pour l’heure être exclu. Le présent grief se doit par conséquent d'être rejeté. 2.3 Dans un deuxième moyen, la recourante invoque une violation du principe de la proportionnalité. A l’appui de son argumentation, elle soutient en</w:t>
      </w:r>
    </w:p>
    <w:p>
      <w:r>
        <w:t>- 9 -</w:t>
      </w:r>
    </w:p>
    <w:p>
      <w:r>
        <w:t>substance que la durée du séquestre, lequel a été ordonné il y a 9 ans, n’est pas justifiée ce d’autant plus qu’elle endosse le statut de tiers à la procédure (act. 1, p. 17 s. et 26-31). 2.3.1 Pour qu'une mesure de contrainte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(ATF 146 I 157 consid. 5.4 et les arrêts cités). S'agissant d'un séquestre pénal, la mesure doit être proportionnée dans son montant, dans sa durée et au regard de la situation de l'intéressé (ATF 132 I 229 consid. 11.3). Pour que le maintien du séquestre pendant une période prolongée se justifie, la Cour rappelle qu’il importe que les soupçons suffisants se renforcent en cours d'enquête (v. supra, consid. 2.2.1 in fine) et que l'existence d'un lien de causalité adéquat entre les valeurs saisies et les actes délictueux puisse être considérée comme hautement vraisemblable (ATF 122 IV 91 consid. 4; TPF 2010 22 consid. 2.1; SCHMID/JOSITSCH, Praxiskommentar, 3e éd. 2018, n. 5 ad art. 263 CPP; JULEN BERTHOD, Commentaire romand, 2e éd. 2019, n. 26 ad art. 263 CPP). Le rapport à la durée doit s’examiner au vu notamment du stade de l’enquête, de la complexité de l’affaire, du nombre de parties, des éléments d’extranéité et des mesures d’instruction en cours (arrêt du Tribunal fédéral 1B_401/2013 du 13 février 2014 consid. 3.4 in fine; LEMBO/NERUSHAY, Commentaire romand, op. cit., n. 1c ad art. 267 CPP). Le séquestre, comme mesure restreignant le droit de la propriété, est proportionné lorsqu'il porte sur des avoirs dont on peut admettre qu'ils pourront être vraisemblablement confisqués ou restitués en application du droit pénal (ATF 141 IV 360 consid. 3.2; arrêt du Tribunal fédéral 1B_109/2015 du 3 juin 2015 consid. 2.1). Tant que l'instruction n'est pas achevée et que subsiste une probabilité de confiscation, de créance compensatrice ou d'une allocation au lésé, la mesure conservatoire doit être maintenue (ATF 141 IV 360 consid. 3.2). En d'autres termes, l'intégralité des fonds doit demeurer à disposition de la justice aussi longtemps qu'il existe un doute sur la part de ceux-ci qui pourrait provenir d'une activité criminelle (arrêt du Tribunal fédéral 1B_269/2018 du 26 septembre 2018 consid. 4.1 et l'arrêt cité).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w:t>
      </w:r>
    </w:p>
    <w:p>
      <w:r>
        <w:t>- 10 -</w:t>
      </w:r>
    </w:p>
    <w:p>
      <w:r>
        <w:t>principe de la proportionnalité, l'étendue du séquestre doit rester en rapport avec le produit de l'infraction poursuivie (ATF 130 II 329 consid. 6; arrêts du Tribunal fédéral 1B_193/ 2019 du 23 septembre 2019 consid. 3.1; 1B_216/2019 et 1B_229/2019 du 24 octobre 2019 consid. 4.1.1). Dans l'hypothèse où le séquestre tend à garantir une éventuelle créance compensatrice, celui-ci peut porter sur tous les biens, valeurs et/ou revenus de l'intéressé sans qu'un lien de connexité avec l'infraction ne soit exigé (ATF 141 IV 360 consid. 3.2; 140 IV 57 consid. 4.1.2). 2.3.2 A teneur du dossier de la cause, la Cour de céans constate que la procédure pénale diligentée par le MPC a fait et fait encore aujourd’hui l’objet de nombreuse contestations entre les parties à la procédure (p. ex. requêtes tendant à la récusation du MPC, requêtes en levée du séquestre, etc.). Ladite procédure nécessite en outre une collaboration internationale intense avec l’Ouzbékistan ou encore la Russie, pays où se trouve actuellement B. A propos de ce dernier, le MPC a, notamment, sollicité, par demande du 18 décembre 2020, complétée le 17 mars 2021, l’entraide auprès des autorités ouzbekes afin d’obtenir un état de la situation des poursuites pénales à son encontre. La documentation transmise par les autorités étrangères, laquelle a été reçue dans sa version traduite en français le</w:t>
      </w:r>
    </w:p>
    <w:p>
      <w:r>
        <w:rPr>
          <w:b/>
        </w:rPr>
        <w:t>E. 5</w:t>
      </w:r>
    </w:p>
    <w:p>
      <w:r>
        <w:t>mai 2020 consid. 1.2; 1B_94/2012 du 2 avril 2012 consid. 2.1 in fine; décisions du Tribunal pénal fédéral BB.2019.81 du 7 janvier 2020 consid. 1.3; BB.2011.10-11 du 18 mai 2011 consid. 1.5 et les réf. citées). En l'espèce, la société recourante est la titulaire des relations bancaires visées par la mesure de contrainte entreprise (v. supra, consid. B). Privée de</w:t>
      </w:r>
    </w:p>
    <w:p>
      <w:r>
        <w:t>- 5 -</w:t>
      </w:r>
    </w:p>
    <w:p>
      <w:r>
        <w:t>la libre disposition de ses avoirs, elle dispose partant d'un intérêt juridiquement protégé à l'annulation de l’ordonnance de refus de levée de séquestre du 21 mai 2021.</w:t>
      </w:r>
    </w:p>
    <w:p>
      <w:r>
        <w:rPr>
          <w:b/>
        </w:rPr>
        <w:t>E. 5.1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la société recourante supportera les frais de la présente procédure de recours, lesquels se limitent en l'espèce à un émolument ascendant à CHF 3'000.-- (v. art. 5 et 8 al. 1 du règlement du Tribunal pénal fédéral du 31 août 2010 sur les frais, émoluments, dépens et indemnités de la procédure pénale fédérale (RFPPF ; RS 173.713.162).</w:t>
      </w:r>
    </w:p>
    <w:p>
      <w:r>
        <w:t>- 12 -</w:t>
      </w:r>
    </w:p>
    <w:p>
      <w:r>
        <w:rPr>
          <w:b/>
        </w:rPr>
        <w:t>E. 10</w:t>
      </w:r>
    </w:p>
    <w:p>
      <w:r>
        <w:t>août 2021, est en cours d’analyse (act. 13; dossier MPC, pièces 18-01- 0778 à 0783, 0789 à 0800 et 0807 à 0931). L’autorité intimée a également requis l’audition de B. par commission rogatoire adressée le 28 août 2020 aux autorités russes aux fins de le confronter aux faits ayant conduit à l’extension de la procédure pour complicité de corruption passive d’agents publics étrangers ainsi qu’aux déclarations formulées par les autres membres de l’« office », soit O., P. et Q., de même que par les représentants des sociétés de télécommunication D., G. Ltd et H. (act. 1.1, p. 11; act. 8, p. 2). L’organisation de ladite audition en Russie est actuellement engagée, les autorités russes attendant qu’une liste de questions leur soit transmise et qu’une date soit convenue (act. 13; dossier MPC, pièces 18-02-0308 à 0319). La Cour de céans constate par ailleurs que la procédure pénale menée par le MPC relève d'un état de fait complexe et met en jeu de nombreux intervenants avec des ramifications à l'étranger. Il ressort enfin du dossier pénal que dans le cadre de la condamnation de O., P. et Q. prononcée par ordonnances pénales pour le même complexe de faits, le MPC avait ordonné la confiscation de valeurs patrimoniales pour un montant total équivalent à CHF 685 millions; la confiscation d’un montant d’environ CHF 340 millions étant aujourd’hui entrée en force (v. act. 1.1, p. 9).</w:t>
      </w:r>
    </w:p>
    <w:p>
      <w:r>
        <w:t>- 11 -</w:t>
      </w:r>
    </w:p>
    <w:p>
      <w:r>
        <w:t>Vu l'ampleur de la cause, on ne peut attendre du MPC qu'il tranche en l'état du dossier, lequel dépend notamment de la coopération susmentionnée avec des Etats étrangers et notamment des éléments de faits sur lesquels B. se doit d’être confronté. Jusqu'à ce qu'il soit possible de se déterminer à propos de ceux-ci et, le cas échéant, d'ordonner une confiscation, il sied de maintenir le séquestre litigieux, ce d’autant plus que des doutes subsistent sur la part des fonds séquestrés qui pourrait provenir des activités criminelles reprochées (v. supra, consid. 2.2.2 s.). Ce nonobstant, il convient en tous les cas de confirmer la mesure de contrainte visant les relations bancaires en cause dès lors que la confiscation des valeurs litigieuses – par hypothèse de provenance licite – demeure en l'espèce envisageable afin de garantir une éventuelle créance compensatrice (art. 71 al. 3 CP; v. supra, consid. I et 2.3.1). Cela étant, les éléments figurant à ce jour au dossier devront, dans la mesure du possible, se préciser sans quoi le maintien du séquestre entrepris pourrait ne plus se justifier. 2.3.3 Il découle de l'ensemble des éléments susmentionnés que la mesure de séquestre visant les relations bancaires en cause n’est pas disproportionnée.</w:t>
      </w:r>
    </w:p>
    <w:p>
      <w:r>
        <w:t>3. Au vu des considérations qui précèdent, la Cour de céans constate que la levée du séquestre entrepris serait prématurée, de sorte qu'il se doit d'être maintenu.</w:t>
      </w:r>
    </w:p>
    <w:p>
      <w:r>
        <w:t>4. Le recours se révèle mal fondé et doit, par conséquent, être rejeté.</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