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BB.2021.153A vom 29. März 2022</w:t>
      </w:r>
    </w:p>
    <w:p>
      <w:r>
        <w:t>Bundesstrafgericht, 2022-03-29, DE</w:t>
      </w:r>
    </w:p>
    <w:p>
      <w:r>
        <w:rPr>
          <w:b/>
        </w:rPr>
        <w:t xml:space="preserve">Quelle: </w:t>
      </w:r>
      <w:r>
        <w:t>https://mcp.opencaselaw.ch/entscheid/bstger_BB.2021.153A</w:t>
      </w:r>
    </w:p>
    <w:p>
      <w:r>
        <w:t>FR: TPF BB.2021.153A du 29 mars 2022</w:t>
      </w:r>
    </w:p>
    <w:p>
      <w:r>
        <w:t>IT: TPF BB.2021.153A del 29 marzo 2022</w:t>
      </w:r>
    </w:p>
    <w:p>
      <w:pPr>
        <w:pStyle w:val="Heading2"/>
      </w:pPr>
      <w:r>
        <w:t>Regeste</w:t>
      </w:r>
    </w:p>
    <w:p>
      <w:r>
        <w:t>Entschädigung der beschuldigten Personen bei Einstellung des Verfahrens (Art. 429 ff. StPO)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Beschlüsse der Strafkammer des Bundesstrafgerichts als erstinstanzliches Gericht des Bundes unterliegen der Beschwerde an die Beschwerdekammer des Bundesstrafgerichts (Art. 393 Abs. 1 lit. b StPO i.V.m. Art. 37 Abs. 1 StBOG). Die Bundesanwaltschaft kann die Beschwerde zugunsten oder zu- ungunsten der beschuldigten oder verurteilten Person ergreifen (Art. 381 Abs. 1 StPO). Darüber hinaus ist jede Partei zur Erhebung einer Beschwerde berechtigt, die ein rechtlich geschütztes Interesse an der Aufhebung oder Änderung eines Entscheids hat (Art. 382 Abs. 1 StPO). Die Beschwerde ge- gen schriftlich oder mündlich eröffnete Entscheide ist innert zehn Tagen schriftlich und begründet einzureichen (Art. 396 Abs. 1 StPO).</w:t>
      </w:r>
    </w:p>
    <w:p>
      <w:r>
        <w:rPr>
          <w:b/>
        </w:rPr>
        <w:t>E. 1.2</w:t>
      </w:r>
    </w:p>
    <w:p>
      <w:r>
        <w:t>Das Bundesgericht bejaht die Beschwer der Staatsanwaltschaft zur Anfech- tung der Höhe der Entschädigung für die private Verteidigung nach Art. 429 Abs. 1 lit. a StPO, weil sich dieser Anspruch grundsätzlich gegen den Staat richte (Urteile des Bundesgerichts 6B_1314/2016 vom 10. Oktober 2018 E. 1.4.3; 6B_168/2012 vom 27. August 2012 E. 2 und 3). Bezüglich der Bemessung der Entschädigung der amtlichen Verteidigung ergibt sich ge- mäss bundesgerichtlicher Rechtsprechung die Rechtsmittellegitimation der Staatsanwaltschaft aus den divergierenden Interessen von Verteidiger und Verurteiltem (BGE 139 IV 199 E. 2; Urteil des Bundesgerichts 6B_1314/2016 vom 10. Oktober 2018 E. 1.4.3): Ersterer sei an einer hohen Entschädigung interessiert, Letzterer – da er bei Eintritt günstiger wirtschaftlicher Verhält- nisse rückzahlungspflichtig werde (Art. 135 Abs. 4 lit. a StPO) – grundsätz- lich hingegen an einer tiefen Entschädigung. Dies rechtfertige die Rechtsmit- tellegitimation der Staatsanwaltschaft (BGE 139 IV 199 a.a.O.). In Fällen, da keine Rückzahlungspflicht besteht, dürfte sich die Beschwerdelegitimation der Staatsanwaltschaft ebenfalls daraus ergeben, dass sich der Entschädi- gungsanspruch gegen den Staat richtet.</w:t>
      </w:r>
    </w:p>
    <w:p>
      <w:r>
        <w:rPr>
          <w:b/>
        </w:rPr>
        <w:t>E. 1.3</w:t>
      </w:r>
    </w:p>
    <w:p>
      <w:r>
        <w:t>Die Beschwerdelegitimation der Bundesanwaltschaft zur Erhebung der vor- liegenden Beschwerde ist nach dem Gesagten zu bejahen. Die übrigen Ein- tretensvoraussetzungen geben zu keinen Bemerkungen Anlass.</w:t>
      </w:r>
    </w:p>
    <w:p>
      <w:r>
        <w:t>- 6 -</w:t>
      </w:r>
    </w:p>
    <w:p>
      <w:r>
        <w:rPr>
          <w:b/>
        </w:rPr>
        <w:t>E. 2.1</w:t>
      </w:r>
    </w:p>
    <w:p>
      <w:r>
        <w:t>Die Bundesanwaltschaft hat ihren Antrag auf Aufhebung von Dispositiv- Ziffer 5 des Beschlusses SK.2019.45 vom 20. Mai 2021, mit welchem RA Luginbühl für die amtliche Verteidigung von B. von der Eidgenossenschaft Fr. 207‘700.-- (inkl. MwSt.) zugesprochen worden ist, zu- rückgezogen. Davon ist Vormerk zu nehmen. Damit ist die Entschädigung der amtlichen Verteidigung von B. weder dem Grundsatz nach noch im Be- trag strittig. Die Beschwerde ist daher – soweit sie die von der Vorinstanz ausgesprochene Entschädigung der amtlichen Verteidigung von B. in der Höhe von Fr. 207‘700.-- betrifft – gegenstandslos geworden. Vor diesem Hin- tergrund rechtfertigt sich, unter der Verfahrensnummer BB.2021.153a einen Teilbeschluss zu fällen. Dieser ist unabhängig von der Frage einer allfälligen Rückerstattungspflicht von B. – wie von der Bundesanwaltschaft beantragt – zu fällen.</w:t>
      </w:r>
    </w:p>
    <w:p>
      <w:r>
        <w:rPr>
          <w:b/>
        </w:rPr>
        <w:t>E. 2.2</w:t>
      </w:r>
    </w:p>
    <w:p>
      <w:r>
        <w:t>Den Ausführungen von RA Luginbühl und der Bundesanwaltschaft zufolge wurde RA Luginbühl mit Verfügung der Bundesanwaltschaft vom 27. Dezem- ber 2018 bereits eine Anzahlung von CHF 25‘000.-- gewährt (vgl. act. 14 S. 4; act. 21 S. 2). Diese ist mithin vom von der Vorinstanz zugesprochenen Betrag von Fr. 207‘700.-- abzuziehen, sodass RA Luginbühl nunmehr der Betrag von Fr. 182‘700.-- von der Eidgenossenschaft auszubezahlen ist.</w:t>
      </w:r>
    </w:p>
    <w:p>
      <w:r>
        <w:rPr>
          <w:b/>
        </w:rPr>
        <w:t>E. 2.3</w:t>
      </w:r>
    </w:p>
    <w:p>
      <w:r>
        <w:t>Über die Frage einer Rückerstattungspflicht von B. wird im separaten Teil- beschluss (BB.2021.153) zusammen mit den noch strittigen Beschwerdean- trägen entschieden.</w:t>
      </w:r>
    </w:p>
    <w:p>
      <w:r>
        <w:rPr>
          <w:b/>
        </w:rPr>
        <w:t>E. 3</w:t>
      </w:r>
    </w:p>
    <w:p>
      <w:r>
        <w:t>Ebenso wird über die Kosten- und Entschädigungsfolgen des vorliegenden Teilverfahrens BB.2021.153a im Teilverfahren BB.2021.153 entschieden.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