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BB.2021.15 vom 9. März 2021</w:t>
      </w:r>
    </w:p>
    <w:p>
      <w:r>
        <w:t>Bundesstrafgericht, 2021-03-09, DE</w:t>
      </w:r>
    </w:p>
    <w:p>
      <w:r>
        <w:rPr>
          <w:b/>
        </w:rPr>
        <w:t xml:space="preserve">Quelle: </w:t>
      </w:r>
      <w:r>
        <w:t>https://mcp.opencaselaw.ch/entscheid/bstger_BB.2021.15</w:t>
      </w:r>
    </w:p>
    <w:p>
      <w:r>
        <w:t>FR: TPF BB.2021.15 du 9 mars 2021</w:t>
      </w:r>
    </w:p>
    <w:p>
      <w:r>
        <w:t>IT: TPF BB.2021.15 del 9 marzo 2021</w:t>
      </w:r>
    </w:p>
    <w:p>
      <w:pPr>
        <w:pStyle w:val="Heading2"/>
      </w:pPr>
      <w:r>
        <w:t>Regeste</w:t>
      </w:r>
    </w:p>
    <w:p>
      <w:r>
        <w:t>Nichtanhandnahmeverfügung (Art. 310 i.V.m. Art. 322 Abs. 2 StPO).</w:t>
      </w:r>
    </w:p>
    <w:p>
      <w:pPr>
        <w:pStyle w:val="Heading2"/>
      </w:pPr>
      <w:r>
        <w:t>Volltext</w:t>
      </w:r>
    </w:p>
    <w:p>
      <w:r>
        <w:t>Beschluss vom 9. März 2021 Beschwerdekammer Besetzung</w:t>
      </w:r>
    </w:p>
    <w:p>
      <w:r>
        <w:t>Bundesstrafrichter Roy Garré, Vorsitz, Patrick Robert-Nicoud und Stephan Blättler, Gerichtsschreiber Stefan Graf</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BB.2021.15</w:t>
      </w:r>
    </w:p>
    <w:p>
      <w:r>
        <w:t>- 2 -</w:t>
      </w:r>
    </w:p>
    <w:p>
      <w:r>
        <w:t>Die Beschwerdekammer hält fest, dass:</w:t>
      </w:r>
    </w:p>
    <w:p>
      <w:r>
        <w:t>- A. am 23. November 2020 bei der Bundesanwaltschaft Strafantrag gegen das Bundesgericht in Luzern (vertreten durch den zuständigen Richter in Sa- chen superprovisorischer Massnahme) einreichte wegen «Verschleppung, Verstösse gg den Gleichheitsgrundsatz, des Amtsmissbrauchs und weiterer Verstösse gg die BV und die EMRK» (vgl. zum Ganzen die Akten SV.20.1524-ZEB);</w:t>
      </w:r>
    </w:p>
    <w:p>
      <w:r>
        <w:t>- die Bundesanwaltschaft am 31. Dezember 2020 verfügte, die Strafanzeige werde nicht anhand genommen (act. 1.1);</w:t>
      </w:r>
    </w:p>
    <w:p>
      <w:r>
        <w:t>- A. mit Beschwerde vom 12. Januar 2021 die Aufhebung dieser Verfügung verlangt, unter Kosten- und Entschädigungsfolge zulasten des Staates (act. 1);</w:t>
      </w:r>
    </w:p>
    <w:p>
      <w:r>
        <w:t>- die Bundesanwaltschaft der Beschwerdekammer am 21. Januar 2021 auf entsprechendes Ersuchen die Verfahrensakten übermittelte (act. 2 und 3).</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 a. den Beschluss des Bundesstraf- gerichts BB.2019.196 vom 11. Dezember 2019 E. 1.2.1 mit Hinweis);</w:t>
      </w:r>
    </w:p>
    <w:p>
      <w:r>
        <w:t>- der Beschwerdeführer zwar nebst anderem ausführt, er erhebe Beschwerde gegen den Stv. Bundesanwalt B. wegen «Verstoss gg den Ausstand»</w:t>
      </w:r>
    </w:p>
    <w:p>
      <w:r>
        <w:t>- 3 -</w:t>
      </w:r>
    </w:p>
    <w:p>
      <w:r>
        <w:t>(act. 1), er aber entgegen Art. 58 Abs. 1 StPO in keiner Art und Weise den Ausstand begründende Tatsachen glaubhaft macht;</w:t>
      </w:r>
    </w:p>
    <w:p>
      <w:r>
        <w:t>- auf das sinngemäss gestellte Ausstandsgesuch demnach nicht einzutreten ist, weshalb auch auf die Einholung einer Stellungnahme des Betroffenen im Sinne von Art. 58 Abs. 2 StPO zu verzichten ist;</w:t>
      </w:r>
    </w:p>
    <w:p>
      <w:r>
        <w:t>- offenbar der Umstand, dass der zuständige Richter am Bundesgericht das Gesuch des Beschwerdeführers vom 11. November 2020 um Erlass einer superprovisorischen Massnahme noch nicht behandelt habe, Gegenstand und Auslöser der Strafanzeige bildet;</w:t>
      </w:r>
    </w:p>
    <w:p>
      <w:r>
        <w:t>- der Beschwerdeführer diesbezüglich in seiner Strafanzeige sinngemäss den Vorwurf des Amtsmissbrauchs erhebt;</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1C_120/2020 vom 30. November 2020 E. 2.3);</w:t>
      </w:r>
    </w:p>
    <w:p>
      <w:r>
        <w:t>- der Beschwerdeführer weder in seiner Strafanzeige noch in seiner Be- schwerde aufzeigt, inwiefern der Straftatbestand des Amtsmissbrauchs oder andere Straftatbestände erfüllt sein sollen;</w:t>
      </w:r>
    </w:p>
    <w:p>
      <w:r>
        <w:t>- ein Teil der vom Beschwerdeführer erhobenen Vorwürfe zudem keine Straf- tatbestände betreffen (so z.B. Verstösse gegen verschiedene Verfahrensbe- stimmungen);</w:t>
      </w:r>
    </w:p>
    <w:p>
      <w:r>
        <w:t>- aufgrund der Ausführungen des Beschwerdeführers auch unklar bleibt, hin- sichtlich welcher allfälliger Straftatbestände er im Sinne von Art. 115 Abs. 1 StPO in seinen Rechten unmittelbar verletzt worden wäre, was eine Grund- voraussetzung seiner Beschwerdelegitimation darstellt (vgl. hierzu u.a. BGE 141 IV 380 E. 2.2 S. 382 f.);</w:t>
      </w:r>
    </w:p>
    <w:p>
      <w:r>
        <w:t>- sich die Beschwerde gegen die Nichtanhandnahmeverfügung nach dem Ge- sagten als offensichtlich unbegründet erweist, weshalb sie ohne weiteren Schriftenwechsel abzuweisen ist, sofern darauf überhaupt einzutreten ist (Art. 390 Abs. 2 StPO e contrario);</w:t>
      </w:r>
    </w:p>
    <w:p>
      <w:r>
        <w:t>- bei diesem Ausgang des Verfahrens die Gerichtskosten dem Beschwerde- führer aufzuerlegen sind (Art. 428 Abs. 1 StPO) und die Gerichtsgebühr auf</w:t>
      </w:r>
    </w:p>
    <w:p>
      <w:r>
        <w:t>- 4 -</w:t>
      </w:r>
    </w:p>
    <w:p>
      <w:r>
        <w:t>Fr. 200.– festzusetzen ist (vgl. Art. 73 StBOG und Art. 5 und 8 Abs. 1 des Reglements des Bundesstrafgerichts vom 31. August 2010 über die Kosten, Gebühren und Entschädigungen in Bundesstrafverfahren [BStKR; SR 173.713.162]);</w:t>
      </w:r>
    </w:p>
    <w:p>
      <w:r>
        <w:t>- 5 -</w:t>
      </w:r>
    </w:p>
    <w:p>
      <w:r>
        <w:t>und erkennt:</w:t>
      </w:r>
    </w:p>
    <w:p>
      <w:r>
        <w:t>1. Auf das Ausstandsgesuch gegen Stv. Bundesanwalt B. wird nicht eingetreten.</w:t>
      </w:r>
    </w:p>
    <w:p>
      <w:r>
        <w:t>2. Die Beschwerde wird abgewiesen, soweit darauf eingetreten wird.</w:t>
      </w:r>
    </w:p>
    <w:p>
      <w:r>
        <w:t>3. Die Gerichtsgebühr von Fr. 200.– wird dem Beschwerdeführer auferlegt.</w:t>
      </w:r>
    </w:p>
    <w:p>
      <w:r>
        <w:t>Bellinzona, 9. März 2021</w:t>
      </w:r>
    </w:p>
    <w:p>
      <w:r>
        <w:t>Im Namen der Beschwerdekammer des Bundesstrafgerichts</w:t>
      </w:r>
    </w:p>
    <w:p>
      <w:r>
        <w:t>Der Präsident: Der Gerichtsschreiber:</w:t>
      </w:r>
    </w:p>
    <w:p>
      <w:r>
        <w:t>Zustellung an</w:t>
      </w:r>
    </w:p>
    <w:p>
      <w:r>
        <w:t>- A.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