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BB.2021.109 vom 4. Mai 2022</w:t>
      </w:r>
    </w:p>
    <w:p>
      <w:r>
        <w:t>Bundesstrafgericht, 2022-05-04, DE</w:t>
      </w:r>
    </w:p>
    <w:p>
      <w:r>
        <w:rPr>
          <w:b/>
        </w:rPr>
        <w:t xml:space="preserve">Quelle: </w:t>
      </w:r>
      <w:r>
        <w:t>https://mcp.opencaselaw.ch/entscheid/bstger_BB.2021.109</w:t>
      </w:r>
    </w:p>
    <w:p>
      <w:r>
        <w:t>FR: TPF BB.2021.109 du 4 mai 2022</w:t>
      </w:r>
    </w:p>
    <w:p>
      <w:r>
        <w:t>IT: TPF BB.2021.109 del 4 maggio 2022</w:t>
      </w:r>
    </w:p>
    <w:p>
      <w:pPr>
        <w:pStyle w:val="Heading2"/>
      </w:pPr>
      <w:r>
        <w:t>Regeste</w:t>
      </w:r>
    </w:p>
    <w:p>
      <w:r>
        <w:t>Verfahrenshandlung der Strafkammer (Art. 20 Abs. 1 lit. a i.V.m. Art. 393 Abs. 1 lit. b StPO); Handelsregistersperre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April 2021 ersetzt;</w:t>
      </w:r>
    </w:p>
    <w:p>
      <w:r>
        <w:t>- es sich bei der Aufrechterhaltung der Handelsregistersperre um einen Ent- scheid über die Nebenfolgen i.S.v. Art. 81 Abs. 4 lit. e StPO handelt (vgl. Urteil des Bundesgerichts 1B_162/2018 vom 18. April 2018 E. 2 mit Hinwei- sen [Aufhebung der Beschlagnahme]; Beschluss des Bundesstrafgerichts BB.2021.90 vom 1. Juni 2021 [Aufrechterhaltung der Beschlagnahme], be- stätigt mit Urteil des Bundesgerichts 1B_308/2021 vom 5. Juli 2021 E. 3);</w:t>
      </w:r>
    </w:p>
    <w:p>
      <w:r>
        <w:t>- die Aufrechterhaltung der Handelsregistersperre mit Berufung anzufechten ist (vgl. Art. 399 Abs. 4 lit. e StPO);</w:t>
      </w:r>
    </w:p>
    <w:p>
      <w:r>
        <w:t>- demnach die Beschwerde gegen die vorliegende Handelsregistersperre aus- geschlossen ist;</w:t>
      </w:r>
    </w:p>
    <w:p>
      <w:r>
        <w:t>- daher das vorliegende Beschwerdeverfahren als gegenstandslos abzu- schreiben ist;</w:t>
      </w:r>
    </w:p>
    <w:p>
      <w:r>
        <w:t>- bei Eintritt der Gegenstandslosigkeit eines Beschwerdeverfahrens diejenige Partei kosten- und entschädigungspflichtig wird, welche die Gegenstandslo- sigkeit des Rechtsmittels verursachte (TPF 2011 31 m.w.H.);</w:t>
      </w:r>
    </w:p>
    <w:p>
      <w:r>
        <w:t>- vorliegend die Vorinstanz die Gegenstandslosigkeit zu vertreten hat und da- mit grundsätzlich kosten- und entschädigungspflichtig wird;</w:t>
      </w:r>
    </w:p>
    <w:p>
      <w:r>
        <w:t>- die Gerichtskosten auf die Staatskasse zu nehmen sind (vgl. Art. 423 Abs. 1 StPO);</w:t>
      </w:r>
    </w:p>
    <w:p>
      <w:r>
        <w:t>- die Beschwerdeführerin Anspruch auf eine Entschädigung für ihre Aufwen- dungen im vorliegenden Beschwerdeverfahren zu Lasten der Kasse des</w:t>
      </w:r>
    </w:p>
    <w:p>
      <w:r>
        <w:t>- 5 -</w:t>
      </w:r>
    </w:p>
    <w:p>
      <w:r>
        <w:t>Bundesstrafgerichts hat (vgl. Art. 436 Abs. 1 i.V.m. Art. 429 Abs. 1 lit. a StPO);</w:t>
      </w:r>
    </w:p>
    <w:p>
      <w:r>
        <w:t>- diese pauschal auf Fr. 3'000.-- (inkl. allfällige MwSt.) festzusetzen ist (vgl. Art. 10 i.V.m. Art. 12 Abs. 2 des Reglements des Bundesstrafgerichts vom 31. August 2010 über die Kosten, Gebühren und Entschädigungen in Bun- desstrafverfahren [BStKR; SR 173.713.162]);</w:t>
      </w:r>
    </w:p>
    <w:p>
      <w:r>
        <w:t>- die B. Sàrl keinen Anspruch auf Entschädigung hat, da sie keine Anträge gestellt hat (vgl. Urteil des Bundesgerichts 6B_265/2016 vom 1. Juni 2016 E. 2.3);</w:t>
      </w:r>
    </w:p>
    <w:p>
      <w:r>
        <w:t>- 6 -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