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BB.2020.88 vom 17. Juni 2020</w:t>
      </w:r>
    </w:p>
    <w:p>
      <w:r>
        <w:t>Bundesstrafgericht, 2020-06-17, DE</w:t>
      </w:r>
    </w:p>
    <w:p>
      <w:r>
        <w:rPr>
          <w:b/>
        </w:rPr>
        <w:t xml:space="preserve">Quelle: </w:t>
      </w:r>
      <w:r>
        <w:t>https://mcp.opencaselaw.ch/entscheid/bstger_BB.2020.88</w:t>
      </w:r>
    </w:p>
    <w:p>
      <w:r>
        <w:t>FR: TPF BB.2020.88 du 17 juin 2020</w:t>
      </w:r>
    </w:p>
    <w:p>
      <w:r>
        <w:t>IT: TPF BB.2020.88 del 17 giugno 2020</w:t>
      </w:r>
    </w:p>
    <w:p>
      <w:pPr>
        <w:pStyle w:val="Heading2"/>
      </w:pPr>
      <w:r>
        <w:t>Regeste</w:t>
      </w:r>
    </w:p>
    <w:p>
      <w:r>
        <w:t>Siegelung (Art. 248 Abs. 1 StPO). Vorsorgliche Massnahmen (Art. 388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i.V.m. Art. 20 Abs. 1 lit. b StPO und Art. 37 Abs. 1 StBOG). Zur Beschwerde berechtigt ist jede Partei oder jeder andere Verfahrensbeteiligte, welche oder welcher ein rechtlich geschütztes Interesse an der Aufhebung oder Änderung des angefochtenen Entscheides haben (Art. 382 Abs. 1 StPO; BGE 6B_307/2019 vom 13. November 2019 E. 2.2.2; siehe auch die Botschaft vom 21. Dezember 2005 zur Vereinheitli- chung des Strafprozessrechts, BBl 2006 1085, 1308). Die Beschwerde ge- gen schriftlich oder mündlich eröffnete Entscheide ist innert zehn Tagen schriftlich und begründet einzureichen (Art. 396 Abs. 1 StPO). Mit ihr gerügt werden können gemäss Art. 393 Abs. 2 StPO Rechtsverletzungen, ein-</w:t>
      </w:r>
    </w:p>
    <w:p>
      <w:r>
        <w:t>- 5 -</w:t>
      </w:r>
    </w:p>
    <w:p>
      <w:r>
        <w:t>schliesslich Überschreitung und Missbrauch des Ermessens, Rechtsverwei- gerung und Rechtsverzögerung (lit. a), die unvollständige oder unrichtige Feststellung des Sachverhalts (lit. b) sowie die Unangemessenheit (lit. c).</w:t>
      </w:r>
    </w:p>
    <w:p>
      <w:r>
        <w:rPr>
          <w:b/>
        </w:rPr>
        <w:t>E. 1.2</w:t>
      </w:r>
    </w:p>
    <w:p>
      <w:r>
        <w:t>Die Verweigerung der vom Beschwerdeführer beantragten Siegelung durch die Beschwerdegegnerin kann mit Beschwerde angefochten werden (Urteil des Bundesgerichts 1B_464/2012 vom 7. März 2013 E. 2). Die übrigen Ein- tretensvoraussetzungen geben zu keinen Bemerkungen Anlass. Auf die vor- liegende Beschwerde ist einzutreten.</w:t>
      </w:r>
    </w:p>
    <w:p>
      <w:r>
        <w:rPr>
          <w:b/>
        </w:rPr>
        <w:t>E. 2.1</w:t>
      </w:r>
    </w:p>
    <w:p>
      <w:r>
        <w:t>Schriftstücke, Ton-, Bild- und andere Aufzeichnungen, Datenträger sowie Anlagen zur Verarbeitung und Speicherung von Informationen dürfen durch- sucht werden, wenn zu vermuten ist, dass sich darin Informationen befinden, die der Beschlagnahme unterliegen (Art. 246 StPO). Von einer Durchsu- chung in diesem Sinne wird nach der Praxis des Bundesgerichts gespro- chen, wenn die Schriftstücke oder Datenträger im Hinblick auf Ihren Inhalt oder ihre Beschaffenheit durchgelesen bzw. besichtigt werden, um ihre Be- weiseignung festzustellen, sie allenfalls zu beschlagnahmen und zu den Ak- ten zu nehmen (BGE 144 IV 74 E. 2.1; 143 IV 270 E. 4.4 S. 273). Die Inha- berin oder der Inhaber kann sich vorgängig zum Inhalt der Aufzeichnungen äussern (Art. 247 Abs. 1 StPO). Aufzeichnungen und Gegenstände, die nach deren oder dessen Angaben wegen eines Aussage- oder Zeugnisverweige- rungsrechts oder aus anderen Gründen nicht durchsucht oder beschlag- nahmt werden dürfen, sind zu versiegeln und dürfen von den Strafbehörden weder eingesehen noch verwendet werden (Art. 248 Abs. 1 StPO).</w:t>
      </w:r>
    </w:p>
    <w:p>
      <w:r>
        <w:rPr>
          <w:b/>
        </w:rPr>
        <w:t>E. 2.2</w:t>
      </w:r>
    </w:p>
    <w:p>
      <w:r>
        <w:t>Nach der Rechtsprechung muss ein Siegelungsgesuch sofort gestellt wer- den. Ein mehrere Wochen oder Monate nach der vorläufigen Sicherstellung der Aufzeichnungen oder Gegenstände gestelltes Siegelungsgesuch ist grundsätzlich verspätet. Demgegenüber kann ein eine Woche danach ge- stelltes Gesuch gegebenenfalls noch als rechtzeitig angesehen werden. Es kommt auf die Umstände des Einzelfalls an (vgl. hierzu die Urteile des Bun- desgerichts 1B_176/2019 vom 17. September 2019 E. 2.2; 1B_85/2019 vom 8. August 2019 E. 4.2 m.w.H.).</w:t>
      </w:r>
    </w:p>
    <w:p>
      <w:r>
        <w:rPr>
          <w:b/>
        </w:rPr>
        <w:t>E. 2.3</w:t>
      </w:r>
    </w:p>
    <w:p>
      <w:r>
        <w:t>Falls die Staatsanwaltschaft (im Vorverfahren) ein Entsiegelungsgesuch stellt, ist vom Zwangsmassnahmengericht im Entsiegelungsverfahren dar- über zu entscheiden, ob die Geheimnisschutzinteressen, welche von der In- haberin oder dem Inhaber der versiegelten Aufzeichnungen und Gegen-</w:t>
      </w:r>
    </w:p>
    <w:p>
      <w:r>
        <w:t>- 6 -</w:t>
      </w:r>
    </w:p>
    <w:p>
      <w:r>
        <w:t>stände angerufen werden, einer Durchsuchung und weiteren strafprozessu- alen Verwendung durch die Staatsanwaltschaft entgegenstehen. In dem Umfang, als das Zwangsmassnahmengericht die Entsiegelung rechtskräftig bewilligt hat, kann die Staatsanwaltschaft anschliessend die entsiegelten Aufzeichnungen und Gegenstände einsehen, inhaltlich durchsuchen und (soweit nach Art. 263–268 StPO zulässig) förmlich beschlagnahmen (vgl. hierzu BGE 141 IV 77 E. 4.1 S. 81). Zu durchsuchende gesiegelte Beweis- mittel sind erst nach erfolgter Entsiegelung und Durchsuchung förmlich zu beschlagnahmen (BGE 144 IV 74 E. 2.3). Die förmliche Beschlagnahme un- terliegt der Beschwerde (GUIDON, Basler Kommentar, 2. Aufl. 2014, Art. 393 StPO N. 10; KELLER, in: Donatsch/Hansjakob/Lieber [Hrsg.], Kommentar zur Schweizerischen Strafprozessordnung, 2. Aufl. 2014, Art. 393 StPO N. 15).</w:t>
      </w:r>
    </w:p>
    <w:p>
      <w:r>
        <w:rPr>
          <w:b/>
        </w:rPr>
        <w:t>E. 2.4</w:t>
      </w:r>
    </w:p>
    <w:p>
      <w:r>
        <w:t>Amtshandlungen, an denen eine zum Ausstand verpflichtete Person mitge- wirkt hat, sind aufzuheben und zu wiederholen, sofern dies eine Partei innert fünf Tagen verlangt, nachdem sie vom Entscheid über den Ausstand Kennt- nis erhalten hat (Art. 60 Abs. 1 StPO). Beweise, die nicht wieder erhoben werden können, darf die Strafbehörde berücksichtigen (Art. 60 Abs. 2 StPO). Nicht wiederholbar können Beweiserhebungen aus rechtlichen, vor allem aber aus tatsächlichen Gründen sein. Letzteres ist insbesondere bei den überraschend vorgenommenen Erhebungen der Fall (KELLER, a.a.O., Art. 60 StPO N. 6).</w:t>
      </w:r>
    </w:p>
    <w:p>
      <w:r>
        <w:t>Art. 60 StPO entspricht weitgehend der Regelung in Art. 38 des Bundesge- setzes vom 17. Juni 2005 über das Bundesgericht (Bundesgerichtsgesetz, BGG; SR 173.110; vgl. hierzu die Botschaft vom 21. Dezember 2005 zur Vereinheitlichung des Strafprozessrechts, BBl 2006 1085, 1150). Gemäss Art. 38 Abs. 2 BGG dürfen Beweismassnahmen, die nicht wiederholbar sind, gleichwohl berücksichtigt werden. Nicht wiederholbar sind Beweismassnah- men allerdings eher selten. Sie sind etwa bei unangemeldeten Augenschei- nen denkbar. Hingegen können angemeldete Augenscheine ohne Weiteres erneut durchgeführt werden (HÄNER, Basler Kommentar, 3. Aufl. 2018, Art. 38 BGG N. 3).</w:t>
      </w:r>
    </w:p>
    <w:p>
      <w:r>
        <w:rPr>
          <w:b/>
        </w:rPr>
        <w:t>E. 3.1</w:t>
      </w:r>
    </w:p>
    <w:p>
      <w:r>
        <w:t>Der Beschwerdeführer verlangte vorliegend am 8. Mai 2020 (erstmals) die Siegelung von anlässlich der Hausdurchsuchung an seinem Domizil am 17. März 2016 sichergestellten Daten und Unterlagen. Weiter betrifft sein Antrag die am 1. Juli 2016 durch die FIFA eingereichten Unterlagen sowie das durch die FIFA am 2. Dezember 2015 eingereichte Notebook des Be-</w:t>
      </w:r>
    </w:p>
    <w:p>
      <w:r>
        <w:t>- 7 -</w:t>
      </w:r>
    </w:p>
    <w:p>
      <w:r>
        <w:t>schwerdeführers. Der Beschwerdeführer hat anlässlich der erwähnten Haus- durchsuchung sowie nach Kenntnisnahme der Editionen bei der FIFA unbe- strittenermassen keine Siegelung der betroffenen Unterlagen bzw. Daten verlangt. Dementsprechend wurde deren Durchsuchung durch die Be- schwerdegegnerin bereits vorgenommen und abgeschlossen. Das heisst, das betreffende Material wurde im Hinblick auf seinen Inhalt oder seine Be- schaffenheit durchgelesen bzw. besichtigt, um seine Beweiseignung festzu- stellen. In der Folge wurde es beschlagnahmt und zu den Akten genommen. Das gilt sowohl für die zuvor mit der Verfahrensleitung betraute und zum Ausstand verpflichtete Person als nun auch für die neue Verfahrensleiterin. Diese sichtete das vorhandene Beweismaterial neu und erliess nach der ent- sprechenden Durchsuchung eine neue Beweismittelbeschlagnahmeverfü- gung, nachdem sie die durch die vorherige Verfahrensleitung erlassenen Be- schlagnahmeverfügungen aufgehoben hatte.</w:t>
      </w:r>
    </w:p>
    <w:p>
      <w:r>
        <w:rPr>
          <w:b/>
        </w:rPr>
        <w:t>E. 3.2</w:t>
      </w:r>
    </w:p>
    <w:p>
      <w:r>
        <w:t>Die Hausdurchsuchung vom 17. März 2016 muss aus tatsächlichen Gründen als nicht wiederholbar im Sinne von Art. 60 Abs. 2 StPO angesehen werden (vgl. hierzu oben E. 2.4). Hat der Beschwerdeführer anlässlich dieser, bereits mehrere Jahre zurückliegenden, Beweiserhebung keine Siegelung verlangt bzw. sogar ausdrücklich auf eine solche verzichtet, so beginnt diesbezüglich keine neue Frist zu laufen, auch wenn die zuvor mit der Verfahrensleitung betraute Person zum Ausstand verpflichtet ist. Wie bei einem Rechtsmittel (siehe hierzu Art. 386 Abs. 3 StPO) ist auch beim Rechtsbehelf der Siege- lung grundsätzlich davon auszugehen, dass ein Verzicht endgültig ist. Der vom Beschwerdeführer diesbezüglich erhobene Einwand, er habe auf die Siegelung ursprünglich nur deshalb verzichtet, weil er (noch) nicht gewusst habe, dass der damalige Verfahrensleiter zum Ausstand verpflichtet gewe- sen sei (siehe u. a. act. 1, Rz. 41), ändert daran nichts.</w:t>
      </w:r>
    </w:p>
    <w:p>
      <w:r>
        <w:t>Zudem ist der am 8. Mai 2020 erstmals gestellte Antrag des Beschwerde- führers auf Siegelung faktisch sinnlos, weil das anlässlich der Hausdurchsu- chung vom 17. März 2016 sichergestellte Beweismaterial bereits wieder durch die neue Verfahrensleiterin durchsucht wurde. Aufhebbar und wieder- holbar ist allenfalls die einer solchen Durchsuchung nachfolgende förmliche Beschlagnahme der Beweismittel. Dagegen steht dem Betroffenen die Be- schwerde offen, womit er seine allfälligen Rechtsschutzinteressen hinrei- chend wahren kann.</w:t>
      </w:r>
    </w:p>
    <w:p>
      <w:r>
        <w:rPr>
          <w:b/>
        </w:rPr>
        <w:t>E. 4</w:t>
      </w:r>
    </w:p>
    <w:p>
      <w:r>
        <w:t>Nach dem Gesagten erweist sich der vom Beschwerdeführer am 8. Mai 2020 gestellte Antrag auf Siegelung als offensichtlich verspätet bzw. unzulässig. Demzufolge ist auch seine dagegen gerichtete Beschwerde offensichtlich</w:t>
      </w:r>
    </w:p>
    <w:p>
      <w:r>
        <w:t>- 8 -</w:t>
      </w:r>
    </w:p>
    <w:p>
      <w:r>
        <w:t>unbegründet, weshalb diese ohne Durchführung eines Schriftenwechsels abzuweisen ist (Art. 390 Abs. 2 StPO e contrario).</w:t>
      </w:r>
    </w:p>
    <w:p>
      <w:r>
        <w:rPr>
          <w:b/>
        </w:rPr>
        <w:t>E. 5</w:t>
      </w:r>
    </w:p>
    <w:p>
      <w:r>
        <w:t>Bei diesem Ausgang des Verfahrens ist das Nebenverfahren betreffend vor- sorgliche Massnahmen im Sinne von Art. 388 StPO zufolge Gegenstandslo- sigkeit als erledigt abzuschreiben.</w:t>
      </w:r>
    </w:p>
    <w:p>
      <w:r>
        <w:rPr>
          <w:b/>
        </w:rPr>
        <w:t>E. 6</w:t>
      </w:r>
    </w:p>
    <w:p>
      <w:r>
        <w:t>Dem Ausgang des Verfahrens entsprechend sind die Gerichtskosten dem unterliegenden Beschwerdeführer aufzuerlegen (Art. 428 Abs. 1 StPO). Die Gerichtsgebühr ist festzusetzen auf Fr. 2’000.– (vgl. Art. 73 StBOG und Art. 5 und 8 Abs. 1 des Reglements des Bundesstrafgerichts vom 31. August 2010 über die Kosten, Gebühren und Entschädigungen in Bundesstrafverfahren [BStKR; SR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