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BB.2020.83 vom 3. Juni 2020</w:t>
      </w:r>
    </w:p>
    <w:p>
      <w:r>
        <w:t>Bundesstrafgericht, 2020-06-03, FR</w:t>
      </w:r>
    </w:p>
    <w:p>
      <w:r>
        <w:rPr>
          <w:b/>
        </w:rPr>
        <w:t xml:space="preserve">Quelle: </w:t>
      </w:r>
      <w:r>
        <w:t>https://mcp.opencaselaw.ch/entscheid/bstger_BB.2020.83</w:t>
      </w:r>
    </w:p>
    <w:p>
      <w:r>
        <w:t>FR: TPF BB.2020.83 du 3 juin 2020</w:t>
      </w:r>
    </w:p>
    <w:p>
      <w:r>
        <w:t>IT: TPF BB.2020.83 del 3 giugno 2020</w:t>
      </w:r>
    </w:p>
    <w:p>
      <w:pPr>
        <w:pStyle w:val="Heading2"/>
      </w:pPr>
      <w:r>
        <w:t>Regeste</w:t>
      </w:r>
    </w:p>
    <w:p>
      <w:r>
        <w:t>Consultation des dossiers (art. 101 s. en lien avec l'art. 107 al. 1 let. a CPP).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mars 2010 (LOAP; RS 173.71) et art. 5 et 8 al. 1 du règlement du Tribunal pénal fédéral sur les frais, émoluments, dépens et indemnités de la procédure pénale fédérale (RFPPF; RS 173.713.162) et seront, in casu, fixés à CHF 1’000.--.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