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BB.2020.76 vom 7. Mai 2020</w:t>
      </w:r>
    </w:p>
    <w:p>
      <w:r>
        <w:t>Bundesstrafgericht, 2020-05-07, DE</w:t>
      </w:r>
    </w:p>
    <w:p>
      <w:r>
        <w:rPr>
          <w:b/>
        </w:rPr>
        <w:t xml:space="preserve">Quelle: </w:t>
      </w:r>
      <w:r>
        <w:t>https://mcp.opencaselaw.ch/entscheid/bstger_BB.2020.76</w:t>
      </w:r>
    </w:p>
    <w:p>
      <w:r>
        <w:t>FR: TPF BB.2020.76 du 7 mai 2020</w:t>
      </w:r>
    </w:p>
    <w:p>
      <w:r>
        <w:t>IT: TPF BB.2020.76 del 7 maggio 2020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Volltext</w:t>
      </w:r>
    </w:p>
    <w:p>
      <w:r>
        <w:t>Beschluss vom 7. Mai 2020 Beschwerdekammer Besetzung</w:t>
      </w:r>
    </w:p>
    <w:p>
      <w:r>
        <w:t>Bundesstrafrichter Roy Garré, Vorsitz, Cornelia Cova und Patrick Robert-Nicoud, Gerichtsschreiberin Chantal Blättler Grivet Fojaja</w:t>
      </w:r>
    </w:p>
    <w:p>
      <w:r>
        <w:t>Parteien</w:t>
      </w:r>
    </w:p>
    <w:p>
      <w:r>
        <w:t>A., vertreten durch Rechtsanwalt Beat Luginbühl, Gesuchsteller</w:t>
      </w:r>
    </w:p>
    <w:p>
      <w:r>
        <w:t>gegen</w:t>
      </w:r>
    </w:p>
    <w:p>
      <w:r>
        <w:t>1. B., Bundesanwalt, Bundesanwaltschaft, 2. C., Staatsanwalt des Bundes, Bundesanwaltschaft, 3. D., Staatsanwalt des Bundes, Bundesanwaltschaft, Gesuchsgegner</w:t>
      </w:r>
    </w:p>
    <w:p>
      <w:r>
        <w:t>Gegenstand</w:t>
      </w:r>
    </w:p>
    <w:p>
      <w:r>
        <w:t>Ausstand der Bundesanwaltschaft (Art. 59 Abs. 1 lit. b i.V.m. Art. 56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BB.2020.76</w:t>
      </w:r>
    </w:p>
    <w:p>
      <w:r>
        <w:t>- 2 -</w:t>
      </w:r>
    </w:p>
    <w:p>
      <w:r>
        <w:t>Die Beschwerdekammer hält fest, dass:</w:t>
      </w:r>
    </w:p>
    <w:p>
      <w:r>
        <w:t>- im Zusammenhang mit Zahlungen im Vorfeld der Fussball WM 2006 in Deutschland die Bundesanwaltschaft am 6. August 2019 im Verfahren SV.15.1462 unter anderem gegen A. bei der Strafkammer des Bundesstraf- gerichts (nachfolgend «Strafkammer») wegen Betrugs (Art. 146 StGB) bzw. Gehilfenschaft (Art. 25 StGB) Anklage erhoben hat;</w:t>
      </w:r>
    </w:p>
    <w:p>
      <w:r>
        <w:t>- am 17. März 2020 wegen der Coronavirus-Pandemie die Hauptverhandlung im Verfahren SK.2019.45 vom 11. März 2020 unterbrochen und das Verfah- ren bis zum 20. bzw. 27. April 2020 sistiert werden musste;</w:t>
      </w:r>
    </w:p>
    <w:p>
      <w:r>
        <w:t>- am 27. April 2020 die gesetzliche Verjährungsfrist für die eingeklagten Straf- taten im Verfahren SK.2019.45 abgelaufen ist (vgl. Medienmitteilung des Bundesstrafgerichts vom 28. April 2020);</w:t>
      </w:r>
    </w:p>
    <w:p>
      <w:r>
        <w:t>- A. mit Ausstandsgesuch vom 30. April 2020 an die Beschwerdekammer des Bundesstrafgerichts gelangt und beantragt, es sei festzustellen, dass betref- fend Bundesanwalt B., Staatsanwalt des Bundes, D. sowie den in das Straf- verfahren SV.15.1462 involvierten Staatsanwälten und Assistenz-Staats- anwälten des Bundes (insbesondere C.) im genannten Strafverfahren Aus- standsgründe vorgelegen hätten bzw. vorlägen; es zudem festzustellten sei, dass jegliche von den Gesuchsgegnern im Strafverfahren SK.2019.45 bzw. SV.15.1462 vorgenommenen Amtshandlungen nichtig seien (act. 1);</w:t>
      </w:r>
    </w:p>
    <w:p>
      <w:r>
        <w:t>- auf die Durchführung eines Schriftenwechsels verzichtet wird (Art. 390 Abs. 2 StPO e contrario).</w:t>
      </w:r>
    </w:p>
    <w:p>
      <w:r>
        <w:t>Die Beschwerdekammer zieht in Erwägung, dass:</w:t>
      </w:r>
    </w:p>
    <w:p>
      <w:r>
        <w:t>- die Beschwerdekammer zum Entscheid über Ausstandsgesuche zuständig ist, wenn davon die Bundesanwaltschaft betroffen ist (Art. 59 Abs. 1 lit. b StPO i.V.m. Art. 37 Abs. 1 StBOG);</w:t>
      </w:r>
    </w:p>
    <w:p>
      <w:r>
        <w:t>- Amtshandlungen, an denen eine zum Ausstand verpflichtete Person beteiligt war, auf Gesuch hin aufgehoben und wiederholt werden müssen (Art. 60 Abs. 1 StPO);</w:t>
      </w:r>
    </w:p>
    <w:p>
      <w:r>
        <w:t>- vorliegend im Falle einer Gutheissung des Ausstandsgesuchs die Aufhe- bung von Amtshandlungen und deren Wiederholung infolge der eingetrete- nen gesetzlichen Verfolgungsverjährung ausgeschlossen wäre;</w:t>
      </w:r>
    </w:p>
    <w:p>
      <w:r>
        <w:t>- 3 -</w:t>
      </w:r>
    </w:p>
    <w:p>
      <w:r>
        <w:t>- ein rechtlich geschütztes Interesse an der Feststellung eines Ausstands- grundes bzw. an der Behandlung des Ausstandsgesuches daher nicht be- steht und das Vorliegen eines derartigen Interessens auch nicht geltend ge- macht wird;</w:t>
      </w:r>
    </w:p>
    <w:p>
      <w:r>
        <w:t>- auf das Austandsgesuch damit nicht einzutreten ist;</w:t>
      </w:r>
    </w:p>
    <w:p>
      <w:r>
        <w:t>- die Kosten des vorliegenden Verfahrens vom Gesuchsteller zu tragen (Art. 59 Abs. 4 StPO) und auf Fr. 500.-- festzusetzen sind (Art. 73 StBOG und Art. 5 und 8 Abs. 2 BStKR).</w:t>
      </w:r>
    </w:p>
    <w:p>
      <w:r>
        <w:t>- 4 -</w:t>
      </w:r>
    </w:p>
    <w:p>
      <w:r>
        <w:t>Demnach erkennt die Beschwerdekammer:</w:t>
      </w:r>
    </w:p>
    <w:p>
      <w:r>
        <w:t>1. Auf das Gesuch wird nicht eingetreten.</w:t>
      </w:r>
    </w:p>
    <w:p>
      <w:r>
        <w:t>2. Die Gerichtsgebühr von Fr. 500.-- wird dem Gesuchsteller auferlegt.</w:t>
      </w:r>
    </w:p>
    <w:p>
      <w:r>
        <w:t>Bellinzona, 7. Mai 2020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Rechtsanwalt Beat Luginbühl - B. (unter Beilage einer Kopie von act. 1) - C. (unter Beilage einer Kopie von act. 1) - D. (unter Beilage einer Kopie von act. 1)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