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BB.2020.72 vom 2. Juli 2020</w:t>
      </w:r>
    </w:p>
    <w:p>
      <w:r>
        <w:t>Bundesstrafgericht, 2020-07-02, DE</w:t>
      </w:r>
    </w:p>
    <w:p>
      <w:r>
        <w:rPr>
          <w:b/>
        </w:rPr>
        <w:t xml:space="preserve">Quelle: </w:t>
      </w:r>
      <w:r>
        <w:t>https://mcp.opencaselaw.ch/entscheid/bstger_BB.2020.72</w:t>
      </w:r>
    </w:p>
    <w:p>
      <w:r>
        <w:t>FR: TPF BB.2020.72 du 2 juillet 2020</w:t>
      </w:r>
    </w:p>
    <w:p>
      <w:r>
        <w:t>IT: TPF BB.2020.72 del 2 luglio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2. Juli 2020 Beschwerdekammer Besetzung</w:t>
      </w:r>
    </w:p>
    <w:p>
      <w:r>
        <w:t>Bundesstrafrichter Roy Garré, Vorsitz, Patrick Robert-Nicoud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BB.2020.72</w:t>
      </w:r>
    </w:p>
    <w:p>
      <w:r>
        <w:t>- 2 -</w:t>
      </w:r>
    </w:p>
    <w:p>
      <w:r>
        <w:t>Die Beschwerdekammer hält fest, dass:</w:t>
      </w:r>
    </w:p>
    <w:p>
      <w:r>
        <w:t>- A. am 25. März 2020 bei der Bundesanwaltschaft einen Strafantrag ein- reichte gegen die Bundesrichterinnen B., C. und D. wegen angeblichem «vorsätzlichem Amtsmissbrauch, Rechtsmissbrauch, Verstösse gg Art. 95 und 97 BGG, Verstösse gg die Beweispflicht, verweigertem rechtlichen Ge- hör und der Strafvereitelung im Amte, Verstösse gg die BV insbesondere gg die Rechtsgleichheit, die Menschenwürde, die Diskriminierung, gg ein faires Verfahren, gg die Waffengleichheit usw.» (act. 1.3);</w:t>
      </w:r>
    </w:p>
    <w:p>
      <w:r>
        <w:t>- die Bundesanwaltschaft am 8. April 2020 verfügte, die Strafanzeige werde nicht anhand genommen (act. 1.1);</w:t>
      </w:r>
    </w:p>
    <w:p>
      <w:r>
        <w:t>- A. dagegen mit Eingabe vom 15. April 2020 bei der Beschwerdekammer Be- schwerde erhob (act. 1) und hierzu am folgenden Tag einen Nachtrag ein- reichte (act. 2);</w:t>
      </w:r>
    </w:p>
    <w:p>
      <w:r>
        <w:t>- die Bundesanwaltschaft der Beschwerdekammer auf entsprechende Auffor- derung hin die Verfahrensakten übermittelte (act. 3 und 4).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offenbar das Urteil des Bundesgerichts 4F_1/2020 vom 13. März 2020, mit welchem dieses nicht auf ein vom Beschwerdeführer eingereichtes Revisi- onsgesuch eintrat, Gegenstand und Auslöser der Strafanzeige bildet;</w:t>
      </w:r>
    </w:p>
    <w:p>
      <w:r>
        <w:t>- 3 -</w:t>
      </w:r>
    </w:p>
    <w:p>
      <w:r>
        <w:t>- der Beschwerdeführer diesbezüglich in seinen Eingaben sinngemäss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1C_563/2018 vom 20. August 2019 E. 3.3);</w:t>
      </w:r>
    </w:p>
    <w:p>
      <w:r>
        <w:t>- der Beschwerdeführer in Strafanzeige und Beschwerde ausführt, weshalb er mit dem erwähnten Urteil des Bundesgerichts nicht einverstanden ist, er da- bei aber nicht aufzeigt, inwiefern der Straftatbestand des Amtsmissbrauchs erfüllt sein soll;</w:t>
      </w:r>
    </w:p>
    <w:p>
      <w:r>
        <w:t>- auch betreffend den anderen beiläufig genannten Vorwurf den Ausführungen des Beschwerdeführers nicht entnommen werden kann, inwiefern der Straf- tatbestand des Betrugs (Art. 146 StGB) erfüllt sein soll;</w:t>
      </w:r>
    </w:p>
    <w:p>
      <w:r>
        <w:t>- ein Teil der vom Beschwerdeführer erhobenen Vorwürfe zudem keine Straf- tatbestände betreffen (so z.B. Verstösse gegen verschiedene Verfahrensbe- stimmungen);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 Gerichtsgebühr festzusetzen ist auf Fr. 200.– (vgl. Art. 73 StBOG und Art. 5 und 8 Abs. 1 des Reglements des Bundesstrafgerichts vom 31. August 2010 über die Kosten, Gebühren und Entschädigungen in Bundesstrafver- 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2. Juli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(unter Beilage einer Kopie der sowie des Nachtrags zur Beschwerde) - B. - C. - D.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