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BB.2020.65 vom 16. April 2020</w:t>
      </w:r>
    </w:p>
    <w:p>
      <w:r>
        <w:t>Bundesstrafgericht, 2020-04-16, FR</w:t>
      </w:r>
    </w:p>
    <w:p>
      <w:r>
        <w:rPr>
          <w:b/>
        </w:rPr>
        <w:t xml:space="preserve">Quelle: </w:t>
      </w:r>
      <w:r>
        <w:t>https://mcp.opencaselaw.ch/entscheid/bstger_BB.2020.65</w:t>
      </w:r>
    </w:p>
    <w:p>
      <w:r>
        <w:t>FR: TPF BB.2020.65 du 16 avril 2020</w:t>
      </w:r>
    </w:p>
    <w:p>
      <w:r>
        <w:t>IT: TPF BB.2020.65 del 16 aprile 2020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décembre 1937 (CP; RS 311.0), il n’apporte aucun élément permettant de soupçonner qu’un faux dans les titres dans l’exercice de fonctions publiques a été commis;</w:t>
      </w:r>
    </w:p>
    <w:p>
      <w:r>
        <w:t>- il n’est dès lors aucunement possible de soupçonner que les autorités helvétiques ont commis l’infraction précitée;</w:t>
      </w:r>
    </w:p>
    <w:p>
      <w:r>
        <w:t>- partant de ce qui précède, c’est à bon droit que le MPC a rendu l’ordonnance de non-entrée en matière querellée;</w:t>
      </w:r>
    </w:p>
    <w:p>
      <w:r>
        <w:t>- dans ces conditions, le recours est manifestement mal fondé, si bien qu’il y a lieu de le rejeter sans procéder à un échange d’écritures;</w:t>
      </w:r>
    </w:p>
    <w:p>
      <w:r>
        <w:t>- conformément à l’art. 428 al. 1 CPP, les frais de la procédure de recours sont mis à la charge des parties dans la mesure où elles ont obtenu gain de cause ou succombé;</w:t>
      </w:r>
    </w:p>
    <w:p>
      <w:r>
        <w:t>- les frais de justice doivent être calculés en application des art. 73 al. 2 LOAP et art. 5 et 8 al. 3 du règlement du Tribunal pénal fédéral sur les frais, émoluments, dépens et indemnités de la procédure pénale fédérale du 31 août 2010 (RFPPF; RS 173.713.162) et seront, in casu, fixés à CHF 200.--.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