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BB.2020.63 vom 7. Mai 2020</w:t>
      </w:r>
    </w:p>
    <w:p>
      <w:r>
        <w:t>Bundesstrafgericht, 2020-05-07, DE</w:t>
      </w:r>
    </w:p>
    <w:p>
      <w:r>
        <w:rPr>
          <w:b/>
        </w:rPr>
        <w:t xml:space="preserve">Quelle: </w:t>
      </w:r>
      <w:r>
        <w:t>https://mcp.opencaselaw.ch/entscheid/bstger_BB.2020.63</w:t>
      </w:r>
    </w:p>
    <w:p>
      <w:r>
        <w:t>FR: TPF BB.2020.63 du 7 mai 2020</w:t>
      </w:r>
    </w:p>
    <w:p>
      <w:r>
        <w:t>IT: TPF BB.2020.63 del 7 maggio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7. Mai 2020 Beschwerdekammer Besetzung</w:t>
      </w:r>
    </w:p>
    <w:p>
      <w:r>
        <w:t>Bundesstrafrichter Roy Garré, Vorsitz, Andreas J. Keller und Giorgio Bomio-Giovanascini,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BB.2020.63</w:t>
      </w:r>
    </w:p>
    <w:p>
      <w:r>
        <w:t>- 2 -</w:t>
      </w:r>
    </w:p>
    <w:p>
      <w:r>
        <w:t>Die Beschwerdekammer hält fest, dass:</w:t>
      </w:r>
    </w:p>
    <w:p>
      <w:r>
        <w:t>- A. der Bundesanwaltschaft mit Eingabe vom 25. Februar 2020 eine gegen die B. AG, die C. AG sowie die FINMA gerichtete «Anzeige betreffend un- korrekte Zwangsrücknahmen bei Immobilienfonds der B. AG und anderen» zugehen liess (act. 1.2);</w:t>
      </w:r>
    </w:p>
    <w:p>
      <w:r>
        <w:t>- A. seine Klage auf das Bundesgesetz vom 23. Juni 2006 über die kollektiven Kapitalanlagen (Kollektivanlagengesetz, KAG; SR 951.31) sowie auf das Bundesgesetz vom 22. Juni 2007 über die Eidgenössische Finanzmarktauf- sicht (Finanzmarktaufsichtsgesetz, FINMAG; SR 956.1) stützte (vgl. act. 1.2, S. 1);</w:t>
      </w:r>
    </w:p>
    <w:p>
      <w:r>
        <w:t>- die Bundesanwaltschaft am 5. März 2020 verfügte, die Strafanzeige werde nicht anhand genommen (act. 1.1);</w:t>
      </w:r>
    </w:p>
    <w:p>
      <w:r>
        <w:t>- A. dagegen mit Beschwerde vom 13. März 2020 an die Beschwerdekammer des Bundesstrafgerichts gelangte und u.a. ausführte, er könne der Beurtei- lung durch die Bundesanwaltschaft nicht zustimmen (act. 1);</w:t>
      </w:r>
    </w:p>
    <w:p>
      <w:r>
        <w:t>- die Bundesanwaltschaft der Beschwerdekammer auf entsprechendes Ersu- chen (act. 2) hin am 18. März 2020 die diesbezüglichen Akten übermittelte (act.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</w:t>
      </w:r>
    </w:p>
    <w:p>
      <w:r>
        <w:t>- 3 -</w:t>
      </w:r>
    </w:p>
    <w:p>
      <w:r>
        <w:t>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im Rahmen der Beschwerdebegründung im Sinne von Art. 385 Abs. 1 lit. b StPO zumindest sinngemäss auch die eigene Beschwerdelegitimation dar- zulegen ist (Urteile des Bundesgerichts 1B_339/2016 vom 17. November 2016 E. 2.1; 1B_242/2015 vom 22. Oktober 2015 E. 4.2);</w:t>
      </w:r>
    </w:p>
    <w:p>
      <w:r>
        <w:t>- offenbar eine rein zivilrechtliche Auseinandersetzung Anlass und Gegen- stand der Strafanzeige bildet;</w:t>
      </w:r>
    </w:p>
    <w:p>
      <w:r>
        <w:t>- der Beschwerdeführer im Rahmen seiner Beschwerde sinngemäss eine Ver- letzung der Treue- und Sorgfaltspflicht im Sinne von Art. 20 Abs. 1 lit. a bzw. lit. b KAG geltend macht, diesbezüglich aber nicht darlegt, inwiefern damit ein konkreter Straftatbestand verletzt sein soll;</w:t>
      </w:r>
    </w:p>
    <w:p>
      <w:r>
        <w:t>- er in seiner Beschwerde beiläufig die Tatbestände der «Vorteilnahme, Be- stechung, Korruption oder dergleichen» erwähnt (act. 1, S. 2), aber nicht dar- tut, wer sich diesbezüglich durch welchen Sachverhalt konkret strafbar ge- macht haben soll;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unterliegenden Beschwerdeführer aufzuerlegen sind (Art. 428 Abs. 1 StPO);</w:t>
      </w:r>
    </w:p>
    <w:p>
      <w:r>
        <w:t>- die Gerichtsgebühr festzusetzen ist auf Fr. 200.– (vgl. Art. 73 StBOG und Art. 5 und 8 Abs. 1 des Reglements des Bundesstrafgerichts vom 31. August 2010 über die Kosten, Gebühren und Entschädigungen in Bundesstrafver- 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7. Mai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