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BB.2020.51 vom 28. April 2020</w:t>
      </w:r>
    </w:p>
    <w:p>
      <w:r>
        <w:t>Bundesstrafgericht, 2020-04-28, DE</w:t>
      </w:r>
    </w:p>
    <w:p>
      <w:r>
        <w:rPr>
          <w:b/>
        </w:rPr>
        <w:t xml:space="preserve">Quelle: </w:t>
      </w:r>
      <w:r>
        <w:t>https://mcp.opencaselaw.ch/entscheid/bstger_BB.2020.51</w:t>
      </w:r>
    </w:p>
    <w:p>
      <w:r>
        <w:t>FR: TPF BB.2020.51 du 28 avril 2020</w:t>
      </w:r>
    </w:p>
    <w:p>
      <w:r>
        <w:t>IT: TPF BB.2020.51 del 28 aprile 2020</w:t>
      </w:r>
    </w:p>
    <w:p>
      <w:pPr>
        <w:pStyle w:val="Heading2"/>
      </w:pPr>
      <w:r>
        <w:t>Regeste</w:t>
      </w:r>
    </w:p>
    <w:p>
      <w:r>
        <w:t>Teilnahme an Beweiserhebungen (Art. 107 Abs. 1 lit. 1 und Art. 147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