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BB.2020.4 vom 14. Februar 2020</w:t>
      </w:r>
    </w:p>
    <w:p>
      <w:r>
        <w:t>Bundesstrafgericht, 2020-02-14, DE</w:t>
      </w:r>
    </w:p>
    <w:p>
      <w:r>
        <w:rPr>
          <w:b/>
        </w:rPr>
        <w:t xml:space="preserve">Quelle: </w:t>
      </w:r>
      <w:r>
        <w:t>https://mcp.opencaselaw.ch/entscheid/bstger_BB.2020.4</w:t>
      </w:r>
    </w:p>
    <w:p>
      <w:r>
        <w:t>FR: TPF BB.2020.4 du 14 février 2020</w:t>
      </w:r>
    </w:p>
    <w:p>
      <w:r>
        <w:t>IT: TPF BB.2020.4 del 14 febbraio 2020</w:t>
      </w:r>
    </w:p>
    <w:p>
      <w:pPr>
        <w:pStyle w:val="Heading2"/>
      </w:pPr>
      <w:r>
        <w:t>Regeste</w:t>
      </w:r>
    </w:p>
    <w:p>
      <w:r>
        <w:t>Ausstand der Bundesanwaltschaft (Art. 59 Abs. 1 lit. b. i.V.m. Art. 56 StPO).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März 2019);</w:t>
      </w:r>
    </w:p>
    <w:p>
      <w:r>
        <w:t>- angesichts des geringen Aufwands in der Sache, der zudem wohl auch durch einen Hinweis auf die mangelnde Formgültigkeit der E-Mail-Nachricht bzw. durch eine kurze Nachfrage durch den Gesuchsgegner beim Gesuchsteller oder bei dessen Verteidiger hätte vermieden werden können, auf die Erhe- bung einer Gerichtsgebühr zu verzichten ist (vgl. Art. 5 des Reglements des Bundesstrafgerichts vom 31. August 2010 über die Kosten, Gebühren und Entschädigungen in Bundesstrafverfahren [BStKR; SR 173.713.162]);</w:t>
      </w:r>
    </w:p>
    <w:p>
      <w:r>
        <w:t>- vorliegend aber auch keine Entschädigung auszurichten ist, weil die Formu- lierung des Gesuchstellers in seiner E-Mail-Nachricht eine Deutung der Ein- gabe als Ausstandsgesuch zuliess und zudem nicht ersichtlich ist, dass die einzige Eingabe des Verteidigers des Gesuchstellers (act. 4) einen nennens- werten entschädigungsberechtigten Aufwand verursacht hat;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