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BB.2020.303 vom 19. Januar 2021</w:t>
      </w:r>
    </w:p>
    <w:p>
      <w:r>
        <w:t>Bundesstrafgericht, 2021-01-19, FR</w:t>
      </w:r>
    </w:p>
    <w:p>
      <w:r>
        <w:rPr>
          <w:b/>
        </w:rPr>
        <w:t xml:space="preserve">Quelle: </w:t>
      </w:r>
      <w:r>
        <w:t>https://mcp.opencaselaw.ch/entscheid/bstger_BB.2020.303</w:t>
      </w:r>
    </w:p>
    <w:p>
      <w:r>
        <w:t>FR: TPF BB.2020.303 du 19 janvier 2021</w:t>
      </w:r>
    </w:p>
    <w:p>
      <w:r>
        <w:t>IT: TPF BB.2020.303 del 19 gennaio 2021</w:t>
      </w:r>
    </w:p>
    <w:p>
      <w:pPr>
        <w:pStyle w:val="Heading2"/>
      </w:pPr>
      <w:r>
        <w:t>Regeste</w:t>
      </w:r>
    </w:p>
    <w:p>
      <w:r>
        <w:t>Déni de justice (art. 393 al. 2 let. a CPP). Séquestre (art. 263 ss CPP).</w:t>
      </w:r>
    </w:p>
    <w:p>
      <w:pPr>
        <w:pStyle w:val="Heading2"/>
      </w:pPr>
      <w:r>
        <w:t>Erwägungen</w:t>
      </w:r>
    </w:p>
    <w:p>
      <w:r>
        <w:rPr>
          <w:b/>
        </w:rPr>
        <w:t>E. 1</w:t>
      </w:r>
    </w:p>
    <w:p>
      <w:r>
        <w:t>A. LTD,</w:t>
      </w:r>
    </w:p>
    <w:p>
      <w:r>
        <w:rPr>
          <w:b/>
        </w:rPr>
        <w:t>E. 2</w:t>
      </w:r>
    </w:p>
    <w:p>
      <w:r>
        <w:t>B. SA,</w:t>
      </w:r>
    </w:p>
    <w:p>
      <w:r>
        <w:t>toutes deux c/o C.</w:t>
      </w:r>
    </w:p>
    <w:p>
      <w:r>
        <w:t>recourantes</w:t>
      </w:r>
    </w:p>
    <w:p>
      <w:r>
        <w:t>contre</w:t>
      </w:r>
    </w:p>
    <w:p>
      <w:r>
        <w:t>MINISTÈRE PUBLIC DE LA CONFÉDÉRATION</w:t>
      </w:r>
    </w:p>
    <w:p>
      <w:r>
        <w:t>intimé</w:t>
      </w:r>
    </w:p>
    <w:p>
      <w:r>
        <w:t>TRIBUNAL PÉNAL FÉDÉRAL Cour des affaires pénales</w:t>
      </w:r>
    </w:p>
    <w:p>
      <w:r>
        <w:t>autorité qui a rendu la décision attaquée</w:t>
      </w:r>
    </w:p>
    <w:p>
      <w:r>
        <w:t>Objet</w:t>
      </w:r>
    </w:p>
    <w:p>
      <w:r>
        <w:t>Déni de justice (art. 393 al. 2 let. a CPP); séquestre (art. 263 ss CPP) B u n d e s s t r a f g e r i c h t T r i b u n a l p é n a l f é d é r a l T r i b u n a l e p e n a l e f e d e r a l e T r i b u n a l p e n a l f e d e r a l</w:t>
      </w:r>
    </w:p>
    <w:p>
      <w:r>
        <w:t>Numéro de dossier: BB.2020.303-304</w:t>
      </w:r>
    </w:p>
    <w:p>
      <w:r>
        <w:t>- 2 -</w:t>
      </w:r>
    </w:p>
    <w:p>
      <w:r>
        <w:t>La Cour des plaintes, vu:</w:t>
      </w:r>
    </w:p>
    <w:p>
      <w:r>
        <w:t>- la procédure pénale menée depuis l’été 2009 par le Ministère public de la Confédération (ci-après: MPC) contre C. et consorts,</w:t>
      </w:r>
    </w:p>
    <w:p>
      <w:r>
        <w:t>- le séquestre prononcé le 15 avril 2011 par le MPC sur le compte 1 (anciennement 2) ouvert auprès de la banque D., à Z., au nom de la société A. Ltd,</w:t>
      </w:r>
    </w:p>
    <w:p>
      <w:r>
        <w:t>- le séquestre ordonné le 17 octobre 2014 par le MPC sur le compte 3 ouvert auprès de la banque E. SA, à Y., au nom de la société B. SA,</w:t>
      </w:r>
    </w:p>
    <w:p>
      <w:r>
        <w:t>- les décisions de la Cour des plaintes du Tribunal pénal fédéral BB.2015.42 et BB.2015.48 du 10 juillet 2015, BB.2015.83 du 25 août 2015, BB.2016.362 du 31 janvier 2017, BB.2017.162+163+164+165 +166+167 du 11 octobre 2017, BB.2017.214 du 18 juillet 2018, BB.2018.162 + BB.2018.163 du 6 février 2019 et BB.2019.146 du 17 juillet 2019 toutes défavorables à B. SA quant à la levée de séquestre,</w:t>
      </w:r>
    </w:p>
    <w:p>
      <w:r>
        <w:t>- les décisions de la Cour de céans BB.2012.178 du 20 décembre 2012, BB.2016.234 + BB.2016.341 du 22 novembre 2016, BB.2017.32 du 9 août 2017, BB.2017.162-167, BB.2017.212 du 27 juin 2018 et BB.2018.162 + BB.2018.163 du 6 février 2019, toutes défavorables à A. Ltd quant à la levée de séquestre,</w:t>
      </w:r>
    </w:p>
    <w:p>
      <w:r>
        <w:t>- l’acte d’accusation adressé le 20 février 2019 par le MPC à la Cour des affaires pénales du Tribunal pénal fédéral (ci-après: CAP-TPF) contre C. et consorts (procédure SK.2019.12),</w:t>
      </w:r>
    </w:p>
    <w:p>
      <w:r>
        <w:t>- les ordonnances de la CAP-TPF du 10 mai 2019, concluant à l’irrecevabilité des requêtes de levées partielles de séquestres datées du 11 avril 2019 par A. Ltd et B. SA, faute pour dites sociétés d’avoir démontré leur existence et les pouvoirs de représentation de C. à leur égard,</w:t>
      </w:r>
    </w:p>
    <w:p>
      <w:r>
        <w:t>- les décisions BB.2019.158, BB.2019.159, BB.2019.204, BB.2019.214 et BB.2019.264 du 30 juin 2020 de la Cour de céans, rejetant, dans la mesure de leur recevabilité, les recours déposés par A. Ltd et B. SA à l’encontre des ordonnances précitées de la CAP-TPF ainsi que contre les ordonnances du 16 juillet 2019 rejetant de nouvelles requêtes de levées partielles des séquestres,</w:t>
      </w:r>
    </w:p>
    <w:p>
      <w:r>
        <w:t>- 3 -</w:t>
      </w:r>
    </w:p>
    <w:p>
      <w:r>
        <w:t>- la requête du 5 octobre 2020 adressée par A. Ltd à la CAP-TPF, sollicitant la levée du séquestre prononcé sur le compte 1 (anciennement 2) ouvert auprès de la banque D., et se référant à des requêtes similaires des 26 août et 6 septembre 2020,</w:t>
      </w:r>
    </w:p>
    <w:p>
      <w:r>
        <w:t>- la requête du 5 octobre 2020 adressée par B. SA à la CAP-TPF, sollicitant la levée du séquestre prononcé sur le compte 3 ouvert auprès de la banque E. SA, et se référant à une requête similaire du</w:t>
      </w:r>
    </w:p>
    <w:p>
      <w:r>
        <w:rPr>
          <w:b/>
        </w:rPr>
        <w:t>E. 6</w:t>
      </w:r>
    </w:p>
    <w:p>
      <w:r>
        <w:t>septembre et 5 octobre 2020 (v. act. 1 et 2 in BB.2020.267 + 270);</w:t>
      </w:r>
    </w:p>
    <w:p>
      <w:r>
        <w:t>que par décisions du 19 novembre 2020, la CAP-TPF a statué sur les requêtes précitées et les a rejetées, renvoyant pour le surplus à l’ordonnance motivée SN.2019.14 du 10 mai 2019 ainsi qu’à l’ordonnance motivée SN.2019.13 du 16 juillet 2019, ainsi qu’aux décisions de la Cour des plaintes du 30 juin 2020 (BB.2019.158 et BB.2019.159+204+214+264) et aux arrêts du Tribunal fédéral du 14 juillet 2020 (1B_346/2020 et 1B_349/2020) rejetant les recours des sociétés précitées;</w:t>
      </w:r>
    </w:p>
    <w:p>
      <w:r>
        <w:t>que ces décisions ont été confirmées tant par la Cour de céans le 17 décembre 2020 (BB.2020.286 + BB.2020.287) que par le Tribunal fédéral le 7 janvier 2021 (arrêt du Tribunal fédéral 1B_657/2020);</w:t>
      </w:r>
    </w:p>
    <w:p>
      <w:r>
        <w:t>- 5 -</w:t>
      </w:r>
    </w:p>
    <w:p>
      <w:r>
        <w:t>que les recours du 8 novembre 2020 des recourantes pour déni de justice, au motif que la CAP-TPF n’aurait pas statué sur leurs requêtes de levées des séquestres, sont partant à présent sans objet au vu des décisions du 19 novembre 2020 de la CAP-TPF;</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les décisions de la CAP-TPF du 19 novembre 2020 – statuant sur les requêtes de levées de séquestres des recourantes – qui ont rendues la cause sans objet;</w:t>
      </w:r>
    </w:p>
    <w:p>
      <w:r>
        <w:t>que par conséquent, la CAP-TPF est la partie qui succombe, de sorte que les frais de la présente procédure seront pris en charge par la caisse de l’Etat;</w:t>
      </w:r>
    </w:p>
    <w:p>
      <w:r>
        <w:t>qu’il n’y a pas Iieu d’allouer des dépens aux recourantes qui n’ont pas agi par l’intermédiaire d’un mandataire professionnel et qui n’en réclament pas.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