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BB.2020.301 vom 29. Dezember 2020</w:t>
      </w:r>
    </w:p>
    <w:p>
      <w:r>
        <w:t>Bundesstrafgericht, 2020-12-29, DE</w:t>
      </w:r>
    </w:p>
    <w:p>
      <w:r>
        <w:rPr>
          <w:b/>
        </w:rPr>
        <w:t xml:space="preserve">Quelle: </w:t>
      </w:r>
      <w:r>
        <w:t>https://mcp.opencaselaw.ch/entscheid/bstger_BB.2020.301</w:t>
      </w:r>
    </w:p>
    <w:p>
      <w:r>
        <w:t>FR: TPF BB.2020.301 du 29 décembre 2020</w:t>
      </w:r>
    </w:p>
    <w:p>
      <w:r>
        <w:t>IT: TPF BB.2020.301 del 29 dicembre 2020</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w:t>
      </w:r>
    </w:p>
    <w:p>
      <w:r>
        <w:t>- 3 -</w:t>
      </w:r>
    </w:p>
    <w:p>
      <w:r>
        <w:t>mit der Eröffnung des schriftlich begründeten Entscheids (BGE 143 IV 40 E. 3.4.4).</w:t>
      </w:r>
    </w:p>
    <w:p>
      <w:r>
        <w:rPr>
          <w:b/>
        </w:rPr>
        <w:t>E. 1.2</w:t>
      </w:r>
    </w:p>
    <w:p>
      <w:r>
        <w:t>Die Beschwerde der amtlichen Verteidigerin richtet sich gegen ihre Entschä- digung im (unbegründeten) Urteil vom 7. Dezember 2020 des Obergerichts des Kantons Bern. Sie erhielt darin weniger zugesprochen als in ihrer Hono- rarnote vom 24. November 2020 beantragt. Die amtliche Verteidigung kann als Dritte im Sinne von Art. 105 Abs. 1 lit. f StPO i.V.m. Art. 82 Abs. 2 StPO in eigenem Namen eine Urteilsbegründung zu ihrer Entschädigung verlan- gen. Anfechtungsobjekt einer Kostenbeschwerde bildet nach der bundesge- richtlichen Rechtsprechung zu Art. 384 lit. a StPO erst das insoweit schriftlich begründete Urteil (BGE 143 IV 40 E. 3.4.4, 3.6). Auf die Beschwerde gegen die im unbegründeten Urteil vom 7. Dezember 2020 festgelegte Entschädi- gung ist demnach nicht einzutreten.</w:t>
      </w:r>
    </w:p>
    <w:p>
      <w:r>
        <w:rPr>
          <w:b/>
        </w:rPr>
        <w:t>E. 1.3</w:t>
      </w:r>
    </w:p>
    <w:p>
      <w:r>
        <w:t>Das Bundesgericht erklärte es in BGE 143 IV 40 als unzulässig, dass die dortige Vorinstanz für den Fristbeginn der Kostenbeschwerde auf die Emp- fangnahme des unbegründeten Urteilsdispositivs abgestellt hatte. Aus Art. 82 Abs. 2 StPO oder Art. 384 lit. a StPO ergibt sich nicht ohne weiteres, dass die amtliche Verteidigung vor einer Kostenbeschwerde zunächst inso- weit die schriftliche Begründung des Urteils zu verlangen hat. Es wird dies nicht bereits bei einem einfachen Blick ins Gesetz klar, sondern erst aus der einschlägigen Rechtsprechung. Auch wenn bei einer Rechtsanwältin ein strengerer Massstab anzulegen ist, so liegt in einem solchen Fall doch keine gravierende Unsorgfalt vor (vgl. BGE 138 I 49 E. 8.3.2). Der amtlichen Ver- teidigerin dürfen somit aus der unrichtigen Rechtsmittelbelehrung keine Nachteile entstehen (vgl. BRÜSCHWEILER/NADIG/SCHNEEBELI, Basler Kom- mentar, 3. Aufl. 2020, Art. 81 StPO N. 14–14c). Damit sind ihr trotz Unterlie- gens keine Gerichtskosten aufzuerlegen.</w:t>
      </w:r>
    </w:p>
    <w:p>
      <w:r>
        <w:rPr>
          <w:b/>
        </w:rPr>
        <w:t>E. 1.4</w:t>
      </w:r>
    </w:p>
    <w:p>
      <w:r>
        <w:t>Eine schriftliche Urteilsbegründung kann innert 10 Tagen verlangt werden (Art. 82 Abs. 2 lit. a StPO) und damit innerhalb der gleichen Frist wie auch die Kostenbeschwerde einzureichen ist (vgl. Art. 396 Abs. 1 StPO). Die amt- liche Verteidigerin stellte ihre Eingabe innert 10 Tagen. Eine Frist gilt auch dann als gewahrt, wenn die Eingabe spätestens am letzten Tag der Frist bei einer nicht zuständigen schweizerischen Behörde eingeht. Diese leitet die Eingabe unverzüglich an die zuständige Strafbehörde weiter (Art. 91 Abs. 4 StPO). Angesichts der Rechtsmittelbelehrung im Urteilsdispositiv ist die vor- liegende Kostenbeschwerde dem Obergericht des Kantons Bern, 2. Straf- kammer, als Gesuch um Begründung der Entschädigung der amtlichen Ver- teidigung im Urteilsdispositiv vom 7. Dezember 2020 weiterzuleiten.</w:t>
      </w:r>
    </w:p>
    <w:p>
      <w:r>
        <w:t>- 4 -</w:t>
      </w:r>
    </w:p>
    <w:p>
      <w:r>
        <w:rPr>
          <w:b/>
        </w:rPr>
        <w:t>E. 2</w:t>
      </w:r>
    </w:p>
    <w:p>
      <w:r>
        <w:t>Es sind keine Gerichtskosten zu erheben (vgl. obige Erwägung 1.3).</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