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BB.2020.277 vom 9. März 2021</w:t>
      </w:r>
    </w:p>
    <w:p>
      <w:r>
        <w:t>Bundesstrafgericht, 2021-03-09, DE</w:t>
      </w:r>
    </w:p>
    <w:p>
      <w:r>
        <w:rPr>
          <w:b/>
        </w:rPr>
        <w:t xml:space="preserve">Quelle: </w:t>
      </w:r>
      <w:r>
        <w:t>https://mcp.opencaselaw.ch/entscheid/bstger_BB.2020.277</w:t>
      </w:r>
    </w:p>
    <w:p>
      <w:r>
        <w:t>FR: TPF BB.2020.277 du 9 mars 2021</w:t>
      </w:r>
    </w:p>
    <w:p>
      <w:r>
        <w:t>IT: TPF BB.2020.277 del 9 marzo 2021</w:t>
      </w:r>
    </w:p>
    <w:p>
      <w:pPr>
        <w:pStyle w:val="Heading2"/>
      </w:pPr>
      <w:r>
        <w:t>Regeste</w:t>
      </w:r>
    </w:p>
    <w:p>
      <w:r>
        <w:t>Nichtanhandnahmeverfügung (Art. 310 i.V.m. Art. 322 Abs. 2 StPO).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September 2020, mit welchem dieses nicht auf eine vom Beschwerde- führer erhobene Beschwerde eintrat, sondern diese der Ausgleichskasse des Kantons Bern zur Prüfung der Einsprache übermittelte, Gegenstand und Auslöser der Strafanzeige bildet;</w:t>
      </w:r>
    </w:p>
    <w:p>
      <w:r>
        <w:t>- der Beschwerdeführer diesbezüglich in seiner Strafanzeige sinngemäss den Vorwurf des Amtsmissbrauchs sowie eines Prozessbetrugs erhebt;</w:t>
      </w:r>
    </w:p>
    <w:p>
      <w:r>
        <w:t>- nach der Rechtsprechung zu Art. 312 StGB nur derjenige die Amtsgewalt missbraucht, welcher die Machtbefugnisse, die ihm sein Amt verleiht, un- rechtmässig anwendet, d.h. kraft seines Amtes verfügt oder Zwang ausübt, wo es nicht geschehen dürfte (BGE 127 IV 209 E. 1a und 1b S. 211 ff.; Urteil des Bundesgerichts 1C_120/2020 vom 30. November 2020 E. 2.3);</w:t>
      </w:r>
    </w:p>
    <w:p>
      <w:r>
        <w:t>- der Beschwerdeführer in seiner Strafanzeige ausführt, weshalb er mit dem erwähnten Urteil des Bundesverwaltungsgerichts nicht einverstanden ist, er dabei aber nicht aufzeigt, inwiefern der Straftatbestand des Amtsmiss- brauchs oder andere Straftatbestände erfüllt sein sollen;</w:t>
      </w:r>
    </w:p>
    <w:p>
      <w:r>
        <w:t>- auch seiner Beschwerde diesbezüglich keine weiteren konkreten Angaben zu entnehmen sind;</w:t>
      </w:r>
    </w:p>
    <w:p>
      <w:r>
        <w:t>- ein Teil der vom Beschwerdeführer erhobenen Vorwürfe zudem keine Straf- tatbestände betreffen (so z.B. Verstösse gegen verschiedene Verfahrensbe- stimmungen);</w:t>
      </w:r>
    </w:p>
    <w:p>
      <w:r>
        <w:t>- aufgrund der Ausführungen des Beschwerdeführers auch unklar bleibt, hin- sichtlich welcher allfälliger Straftatbestände er im Sinne von Art. 115 Abs. 1 StPO in seinen Rechten unmittelbar verletzt worden wäre, was eine Grund- voraussetzung seiner Beschwerdelegitimation darstellt (vgl. hierzu u.a. BGE 141 IV 380 E. 2.2 S. 382 f.);</w:t>
      </w:r>
    </w:p>
    <w:p>
      <w:r>
        <w:t>- im Übrigen der Umstand, wonach der die Nichtanhandnahmeverfügung un- terzeichnende Stv. Bundesanwalt Entscheide fälle, obwohl gegen ihn «etli- che Ausstandsverfahren rechtshängig» seien, entgegen den Ausführungen des Beschwerdeführers keinen Verstoss gegen die Ausstandsregeln dar- stellt (vgl. schon nur Art. 59 Abs. 3 StPO);</w:t>
      </w:r>
    </w:p>
    <w:p>
      <w:r>
        <w:t>- 4 -</w:t>
      </w:r>
    </w:p>
    <w:p>
      <w:r>
        <w:t>- sich die Beschwerde gegen die Nichtanhandnahmeverfügung nach dem Ge- sagten als offensichtlich unbegründet erweist, weshalb sie ohne weiteren Schriftenwechsel abzuweisen ist, sofern darauf überhaupt einzutreten ist (Art. 390 Abs. 2 StPO e contrario);</w:t>
      </w:r>
    </w:p>
    <w:p>
      <w:r>
        <w:t>- bei diesem Ausgang des Verfahrens die Gerichtskosten dem Beschwerde- führer aufzuerlegen sind (Art. 428 Abs. 1 StPO) und die Gerichtsgebühr auf Fr. 200.– festzusetzen ist (vgl. Art. 73 StBOG und Art. 5 und 8 Abs. 1 des Reglements des Bundesstrafgerichts vom 31. August 2010 über die Kosten, Gebühren und Entschädigungen in Bundesstrafverfahren [BStKR; SR 173.713.162]);</w:t>
      </w:r>
    </w:p>
    <w:p>
      <w:r>
        <w:t>- 5 -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