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BB.2020.258 vom 11. Januar 2021</w:t>
      </w:r>
    </w:p>
    <w:p>
      <w:r>
        <w:t>Bundesstrafgericht, 2021-01-11, FR</w:t>
      </w:r>
    </w:p>
    <w:p>
      <w:r>
        <w:rPr>
          <w:b/>
        </w:rPr>
        <w:t xml:space="preserve">Quelle: </w:t>
      </w:r>
      <w:r>
        <w:t>https://mcp.opencaselaw.ch/entscheid/bstger_BB.2020.258</w:t>
      </w:r>
    </w:p>
    <w:p>
      <w:r>
        <w:t>FR: TPF BB.2020.258 du 11 janvier 2021</w:t>
      </w:r>
    </w:p>
    <w:p>
      <w:r>
        <w:t>IT: TPF BB.2020.258 del 11 gennaio 2021</w:t>
      </w:r>
    </w:p>
    <w:p>
      <w:pPr>
        <w:pStyle w:val="Heading2"/>
      </w:pPr>
      <w:r>
        <w:t>Regeste</w:t>
      </w:r>
    </w:p>
    <w:p>
      <w:r>
        <w:t>Indemnité du défenseur d'office (art. 135 al. 3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La cause est transmise au Tribunal fédéral comme objet de sa compétence.</w:t>
      </w:r>
    </w:p>
    <w:p>
      <w:r>
        <w:rPr>
          <w:b/>
        </w:rPr>
        <w:t>E. 3</w:t>
      </w:r>
    </w:p>
    <w:p>
      <w:r>
        <w:t>La présente décision est rendue sans frais.</w:t>
      </w:r>
    </w:p>
    <w:p>
      <w:r>
        <w:t>Bellinzone, le 11 janvier 2021</w:t>
      </w:r>
    </w:p>
    <w:p>
      <w:r>
        <w:t>Au nom de la Cour des plaintes du Tribunal pénal fédéral</w:t>
      </w:r>
    </w:p>
    <w:p>
      <w:r>
        <w:t>Le juge unique: La greffière:</w:t>
      </w:r>
    </w:p>
    <w:p>
      <w:r>
        <w:t>Distribution</w:t>
      </w:r>
    </w:p>
    <w:p>
      <w:r>
        <w:t>- A. - Tribunal cantonal, Chambre des recours pénale - Tribunal fédéral</w:t>
      </w:r>
    </w:p>
    <w:p>
      <w:r>
        <w:t>Indication des voies de recours Il n’existe aucune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