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BB.2020.253 vom 9. März 2021</w:t>
      </w:r>
    </w:p>
    <w:p>
      <w:r>
        <w:t>Bundesstrafgericht, 2021-03-09, DE</w:t>
      </w:r>
    </w:p>
    <w:p>
      <w:r>
        <w:rPr>
          <w:b/>
        </w:rPr>
        <w:t xml:space="preserve">Quelle: </w:t>
      </w:r>
      <w:r>
        <w:t>https://mcp.opencaselaw.ch/entscheid/bstger_BB.2020.253</w:t>
      </w:r>
    </w:p>
    <w:p>
      <w:r>
        <w:t>FR: TPF BB.2020.253 du 9 mars 2021</w:t>
      </w:r>
    </w:p>
    <w:p>
      <w:r>
        <w:t>IT: TPF BB.2020.253 del 9 marzo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9. März 2021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BB.2020.253</w:t>
      </w:r>
    </w:p>
    <w:p>
      <w:r>
        <w:t>- 2 -</w:t>
      </w:r>
    </w:p>
    <w:p>
      <w:r>
        <w:t>Die Beschwerdekammer hält fest, dass:</w:t>
      </w:r>
    </w:p>
    <w:p>
      <w:r>
        <w:t>- A. am 17. August 2020 bei der Generalstaatsanwaltschaft des Kantons Bern gegen Bundesrichter B. Strafanzeige erhob wegen «Amtsmissbrauch, Verstoss gg Ausstandsregeln, Verstoss gg die Beweispflicht, der Voreinge- nommenheit, der Verstösse gg Art. 95 und 97 BGG, der Sachverfälschung, der Rechtsbeugung, Verstösse gg die BV, die EMRK und gg ein faires Ver- fahren etc.»;</w:t>
      </w:r>
    </w:p>
    <w:p>
      <w:r>
        <w:t>- diese Anzeige letztlich zuständigkeitshalber der Bundesanwaltschaft weiter- geleitet wurde (vgl. zum Ganzen die Akten SV.20.1143-ZEB);</w:t>
      </w:r>
    </w:p>
    <w:p>
      <w:r>
        <w:t>- die Bundesanwaltschaft am 19. Oktober 2020 verfügte, die Strafanzeige werde nicht anhand genommen (act. 1.1);</w:t>
      </w:r>
    </w:p>
    <w:p>
      <w:r>
        <w:t>- A. mit u.a. gegen diese Verfügung gerichteter Beschwerde vom 22. Okto- ber 2020 deren Aufhebung und die Zurückweisung an die Vorinstanz ver- langt, unter Kosten- und Entschädigungsfolge zulasten des Staates (act. 1);</w:t>
      </w:r>
    </w:p>
    <w:p>
      <w:r>
        <w:t>- die Bundesanwaltschaft der Beschwerdekammer am 3. November 2020 auf entsprechendes Ersuchen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BB.2019.196 vom 11. Dezember 2019 E. 1.2.1 mit Hinweis);</w:t>
      </w:r>
    </w:p>
    <w:p>
      <w:r>
        <w:t>- 3 -</w:t>
      </w:r>
    </w:p>
    <w:p>
      <w:r>
        <w:t>- offenbar das Urteil des Bundesgerichts 6B_657/2020 vom 12. August 2020, mit welchem dieses nicht auf eine vom Beschwerdeführer erhobene Be- schwerde eintrat, Gegenstand und Auslöser der Strafanzeige bildet;</w:t>
      </w:r>
    </w:p>
    <w:p>
      <w:r>
        <w:t>- der Beschwerdeführer diesbezüglich in seiner Strafanzeige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1C_120/2020 vom 30. November 2020 E. 2.3);</w:t>
      </w:r>
    </w:p>
    <w:p>
      <w:r>
        <w:t>- der Beschwerdeführer in seiner Strafanzeige ausführt, weshalb er mit dem erwähnten Urteil des Bundesgerichts nicht einverstanden ist, er dabei aber nicht aufzeigt, inwiefern der Straftatbestand des Amtsmissbrauchs erfüllt sein soll;</w:t>
      </w:r>
    </w:p>
    <w:p>
      <w:r>
        <w:t>- auch seiner Beschwerde diesbezüglich keine weiteren konkreten Angaben zu entnehmen sind;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9. März 2021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Bundesrichter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