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BB.2020.232 vom 6. Oktober 2020</w:t>
      </w:r>
    </w:p>
    <w:p>
      <w:r>
        <w:t>Bundesstrafgericht, 2020-10-06, FR</w:t>
      </w:r>
    </w:p>
    <w:p>
      <w:r>
        <w:rPr>
          <w:b/>
        </w:rPr>
        <w:t xml:space="preserve">Quelle: </w:t>
      </w:r>
      <w:r>
        <w:t>https://mcp.opencaselaw.ch/entscheid/bstger_BB.2020.232</w:t>
      </w:r>
    </w:p>
    <w:p>
      <w:r>
        <w:t>FR: TPF BB.2020.232 du 6 octobre 2020</w:t>
      </w:r>
    </w:p>
    <w:p>
      <w:r>
        <w:t>IT: TPF BB.2020.232 del 6 ottobre 2020</w:t>
      </w:r>
    </w:p>
    <w:p>
      <w:pPr>
        <w:pStyle w:val="Heading2"/>
      </w:pPr>
      <w:r>
        <w:t>Regeste</w:t>
      </w:r>
    </w:p>
    <w:p>
      <w:r>
        <w:t>Récusation du tribunal de première instance (art. 59 al. let. b en lien avec l'art. 56 CPP).</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les requérants, par le biais de leurs conseils respectifs, ont déposé chacun une requête de récusation à l’encontre de la juge D. Les requêtes sont basées sur des motifs identiques dans le cadre de la procédure dirigée à leur encontre et soulèvent des griefs globalement similaires. Il se justifie dès lors de joindre les causes BB.2020.232, BB.2020.233 et BB.2020.234.</w:t>
      </w:r>
    </w:p>
    <w:p>
      <w:r>
        <w:rPr>
          <w:b/>
        </w:rPr>
        <w:t>E. 2.1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tribunal de première instance est concerné.</w:t>
      </w:r>
    </w:p>
    <w:p>
      <w:r>
        <w:rPr>
          <w:b/>
        </w:rPr>
        <w:t>E. 2.2</w:t>
      </w:r>
    </w:p>
    <w:p>
      <w:r>
        <w:t>Sur ce vu, il incombe donc à l’autorité de céans de trancher la question de la récusation, les membres du tribunal de première instance visés par la requête n’ayant qu’à prendre position sur cette dernière (art. 58 al. 2 CPP) et à transmettre l’ensemble à la Cour des plaintes du Tribunal pénal fédéral pour décision, cette dernière tranchant définitivement le litige (art. 59 al. 1 CPP).</w:t>
      </w:r>
    </w:p>
    <w:p>
      <w:r>
        <w:rPr>
          <w:b/>
        </w:rPr>
        <w:t>E. 2.3</w:t>
      </w:r>
    </w:p>
    <w:p>
      <w:r>
        <w:t>Seules les parties à une procédure ont qualité pour agir en récusation d’un membre de l’autorité pénale (art. 58 al. 1 et 104 CPP). Les requérants sont prévenus dans la procédure SK.2019.12 de sorte que leur qualité pour agir est admise dans ce cadre-là.</w:t>
      </w:r>
    </w:p>
    <w:p>
      <w:r>
        <w:rPr>
          <w:b/>
        </w:rPr>
        <w:t>E. 2.4.1</w:t>
      </w:r>
    </w:p>
    <w:p>
      <w:r>
        <w:t>Selon l’art. 58 al. 1 CPP, lorsqu’une partie entend demander la récusation d’une personne qui exerce une fonction au sein d’une autorité pénale, elle doit présenter « sans délai » à la direction de la procédure une demande en</w:t>
      </w:r>
    </w:p>
    <w:p>
      <w:r>
        <w:t>- 4 -</w:t>
      </w:r>
    </w:p>
    <w:p>
      <w:r>
        <w:t>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2.4.2</w:t>
      </w:r>
    </w:p>
    <w:p>
      <w:r>
        <w:t>En l’espèce, les requérants fondent leur demande de récusation sur le refus de la juge D. de donner suite à leur requête du 7 septembre 2020 tendant notamment à la dénonciation pénale de la Procureure G., qu’ils perçoivent comme une apparence de partialité en faveur de celle-ci. Le refus en question, daté du 16 septembre 2020, a été reçu par les requérants au plus tôt le 17 septembre 2020, de sorte que les requêtes de récusation datées du 24 septembre 2020 ont été présentées dans les jours qui ont suivi la connaissance du motif.</w:t>
      </w:r>
    </w:p>
    <w:p>
      <w:r>
        <w:rPr>
          <w:b/>
        </w:rPr>
        <w:t>E. 2.5</w:t>
      </w:r>
    </w:p>
    <w:p>
      <w:r>
        <w:t>Les requêtes de récusation étant recevables, il convient d’entrer en matière.</w:t>
      </w:r>
    </w:p>
    <w:p>
      <w:r>
        <w:rPr>
          <w:b/>
        </w:rPr>
        <w:t>E. 3</w:t>
      </w:r>
    </w:p>
    <w:p>
      <w:r>
        <w:t>Les requérants invoquent l’art. 56 let. f CPP (act. 1).</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w:t>
      </w:r>
    </w:p>
    <w:p>
      <w:r>
        <w:rPr>
          <w:b/>
        </w:rPr>
        <w:t>E. 3.2</w:t>
      </w:r>
    </w:p>
    <w:p>
      <w:r>
        <w:t>L’art. 56 CPP concrétise ces garanties en énumérant divers motifs de récusation aux lettres a à e. La lettre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w:t>
      </w:r>
    </w:p>
    <w:p>
      <w:r>
        <w:t>- 5 -</w:t>
      </w:r>
    </w:p>
    <w:p>
      <w:r>
        <w:t>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3.2.1; 138 IV 142 consid. 2.3; 116 Ia 14 consid. 5a p. 19; 116 Ia 135 consid. 3a p. 138; 114 Ia 153 consid. 3b/bb p. 158; 113 Ia 407 consid. 2b p. 409/410; 111 Ia 259 consid. 3b/aa in fine p. 264).</w:t>
      </w:r>
    </w:p>
    <w:p>
      <w:r>
        <w:rPr>
          <w:b/>
        </w:rPr>
        <w:t>E. 3.4.1</w:t>
      </w:r>
    </w:p>
    <w:p>
      <w:r>
        <w:t>Les requérants estiment qu’en refusant de donner suite à leur requête tendant à la dénonciation pénale de la Procureure G. ‒ requête appuyée d’un avis de droit contenant des éléments laissant présumer que la Procureure se serait rendue coupable d’abus de pouvoir et d’entrave à l’action pénale ‒ la juge D. démontre qu’elle n’est pas intéressée à vérifier les soupçons exposés ‒ alors qu’elle en aurait l’obligation légale en vertu de l’art. 302 CPP ‒ et qu’elle entend ainsi protéger la Procureure. Ceci démontrerait une apparence de partialité de la juge D., laquelle se concrétisera durant les débats où elle prendra forcément le parti du Ministère public de la Confédération (ci-après: MPC) (act. 1, p. 2-3 in BB.2020.232; act. 1, p. 3-4 in BB.2020.233; act. 1, p. 3 n° 4 in BB.2020.234). La juge D. quant à elle a estimé que, après avoir pris connaissance des requêtes et de l’avis de droit, celui-ci ne permettait pas de retenir des soupçons qualifiés de commission d’une infraction (act. 1.1).</w:t>
      </w:r>
    </w:p>
    <w:p>
      <w:r>
        <w:rPr>
          <w:b/>
        </w:rPr>
        <w:t>E. 3.4.2</w:t>
      </w:r>
    </w:p>
    <w:p>
      <w:r>
        <w:t>Il convient à titre liminaire de relever que, alors que la procédure a été ouverte il y a près de dix ans par le MPC et instruite par la Procureure G.</w:t>
      </w:r>
    </w:p>
    <w:p>
      <w:r>
        <w:t>- 6 -</w:t>
      </w:r>
    </w:p>
    <w:p>
      <w:r>
        <w:t>durant ces années, les prévenus n’ont à aucun moment adressé de dénonciation pénale à son encontre, quand bien même ceux-ci sont représentés par des avocats, parfaitement à même de déceler d’éventuelles infractions pénales, et d’entreprendre les démarches juridiques y relatives. Ce d’autant plus que les faits sur lesquels reposent les présomptions qu’ils dénoncent aujourd’hui datent de plusieurs années déjà.</w:t>
      </w:r>
    </w:p>
    <w:p>
      <w:r>
        <w:rPr>
          <w:b/>
        </w:rPr>
        <w:t>E. 3.4.3</w:t>
      </w:r>
    </w:p>
    <w:p>
      <w:r>
        <w:t>Les requérants reprochent à présent à l’intimée une violation de l’art. 302 al. 1 CPP ‒ disposition en vertu de laquelle les autorités pénales sont tenues de dénoncer aux autorités compétentes toutes les infractions qu’elles ont constatées dans l’exercice de leurs fonctions ou qui leur ont été annoncées si elles ne sont pas elles-mêmes compétentes pour les poursuivre ‒ violation qui dénoterait sa partialité. Cette disposition suppose que l’intensité du soupçon soit suffisante, soit, pour les tribunaux, que les soupçons soient qualifiés et non simplement apparents (PAREIN, Commentaire romand, 2ème éd. 2019, n° 1 ad art. 302 CPP; décision du Tribunal pénal fédéral BB.2017.61 du 23 mai 2017 consid. 2.5). Ceci n’est manifestement pas le cas en l’espèce dans la mesure où les requérants fondent leur demande de récusation sur le refus de l’intimée de dénoncer G. sur la base d’un avis de droit qu’ils ont produit, lequel n’a pas plus de valeur qu’un allégué de partie (v. ATF 141 III 433 consid. 2.6). En effet, dit avis est basé sur des faits tels que relatés par les requérants ‒ lesquels sont prévenus dans la procédure en question ‒ et donc forcément présentés de façon orientée. L’on ne peut ainsi nullement reprocher à l’intimée de n’avoir dénoncé G. en se fondant sur cette pièce. Il pourrait davantage être reproché à l’intimée une apparence de partialité si, sur la seule base des déclarations et requêtes d’une partie, elle agissait dans le sens souhaité par celle-ci. L’on ne saurait ainsi voir d’apparence de prévention dans le fait de refuser de donner suite à une requête de partie. A cet égard, et conformément à la jurisprudence et à la doctrine constantes en la matière, n’emporte pas prévention une décision défavorable à une partie, des décisions successives concernant la même personne, ou un refus d’administrer une preuve (VERNIORY, op. cit., n° 35 ad art. 56 CPP). De plus et comme le relève à juste titre le MPC, si les soupçons étaient aussi évidents que les requérants tentent de le faire croire, ceux-ci n’auraient pas manqué de les dénoncer lors de l’instruction de la cause et non alors que celle-ci sera prochainement jugée. Partant, la demande de récusation fondée sur le refus de l’intimée de dénoncer la Procureure G. est mal fondée, et doit dès lors être rejetée.</w:t>
      </w:r>
    </w:p>
    <w:p>
      <w:r>
        <w:rPr>
          <w:b/>
        </w:rPr>
        <w:t>E. 3.5.1</w:t>
      </w:r>
    </w:p>
    <w:p>
      <w:r>
        <w:t>Les requérants voient en outre une apparence de partialité de la juge D. au motif que son courrier du 16 septembre 2020, refusant de donner suite à leurs requêtes, ne serait pas suffisamment motivé. Cela donnerait</w:t>
      </w:r>
    </w:p>
    <w:p>
      <w:r>
        <w:t>- 7 -</w:t>
      </w:r>
    </w:p>
    <w:p>
      <w:r>
        <w:t>l’impression qu’elle n’a pas vérifié l’avis de droit et que leurs offres de preuve sont rejetées sans motivation (act. 1, p. 4 in BB.2020.232; act. 1, p. 5 in BB.2020.233; act. 1, p. 3-4, n° 5 in BB.2020.234). Une motivation insuffisante, en tant que composante de la violation du droit d’être entendu, ne constitue nullement un motif de récusation, si tant est qu’elle soit avérée. En effet selon la jurisprudence fédérale, seules des erreurs particulièrement lourdes ou répétées du juge, constituant des violations graves de ses devoirs, peuvent justifier le soupçon du parti pris (VERNIORY, op. cit., n° 35 ad art. 56 CPP et la jurisprudence citée), ce qui n’est pas le cas d’une éventuelle violation du droit d’être entendu. Les requérants n’allèguent d’ailleurs point que l’intimée ait de façon répétée violé ses devoirs. L’on ne saurait davantage tenir pour établi le fait que, la requête commune des requérants du 7 septembre 2020 ayant été rejetée, l’intimée déboutera systématiquement les requérants dans leurs éventuelles sollicitations futures et, partant, qu’elle aurait déjà pris le parti du MPC (cf. act. 1, p. 5 in BB.2020.232; act. 1, p. 5 in BB.2020.233; supra consid. 3.4.3). Pareil constat s’impose concernant l’argumentation relative à la requête de récusation diri- gée contre la Procureure G., laquelle a été déclarée sans objet par l’intimée (act. 1, p. 6 in BB.2020.232; act. 1, p. 5 in BB.2020.233; act. 1, n° 9-10 in BB.2020.234). L’examen de l’éventuelle partialité de la Procureure doit être examinée par la Cour de céans, non par la direction de la procédure. C’est ainsi uniquement à la Cour des plaintes qu’il appartiendra de trancher une telle question.</w:t>
      </w:r>
    </w:p>
    <w:p>
      <w:r>
        <w:rPr>
          <w:b/>
        </w:rPr>
        <w:t>E. 3.5.2</w:t>
      </w:r>
    </w:p>
    <w:p>
      <w:r>
        <w:t>Serait également un indice en faveur de l’apparence de partialité de l’intimée, selon les requérants, l’indication dans son courrier du 16 septembre 2020 qu’il était loisible aux requérants de dénoncer eux-mêmes les faits qu’ils estiment pénalement répréhensibles, car cela n’enlèverait rien au devoir que lui impose l’art. 302 CP de dénoncer elle-même les infractions constatées (act. 1, p. 5 in BB.2020.232; act. 1, p. 4 in BB.2020.233). Les considérations de la Cour de céans relatives à la violation alléguée de l’art. 302 CP par l’intimée s’appliquent mutatis mutandis à ce grief (cf. supra consid. 3.4.3), de sorte que la Cour n’entrera pas davantage en matière sur ces allégations.</w:t>
      </w:r>
    </w:p>
    <w:p>
      <w:r>
        <w:rPr>
          <w:b/>
        </w:rPr>
        <w:t>E. 3.5.3</w:t>
      </w:r>
    </w:p>
    <w:p>
      <w:r>
        <w:t>Les requérants reprochent encore à l’intimée d’avoir transmis l’avis de droit du Prof. F. aux parties ‒ dont la Procureure G. ‒ ce qui lui donnerait un avantage si une procédure devait être ouverte à son encontre. L’intimée aurait ainsi sciemment favorisé la Procureure afin qu’elle soit, le cas échéant, préparée pour une telle procédure (act. 1, p. 5-6 in BB.2020.232; act. 1, p. 5 in BB.2020.233; act. 1, n° 8 in BB.2020.234). Les requérants n’ignorent pas que les documents, moyens de preuves ou écrits remis à la direction de la procédure sont également transmis aux autres parties afin de garantir l’égalité de traitement entre celles-ci. Ainsi, les requêtes déposées par une</w:t>
      </w:r>
    </w:p>
    <w:p>
      <w:r>
        <w:t>- 8 -</w:t>
      </w:r>
    </w:p>
    <w:p>
      <w:r>
        <w:t>partie sont remises aux autres parties, afin que celles-ci puissent se déterminer avant que la direction de la procédure ne rende une décision (art. 109 al. 2 CPP). Il ne fait d’ailleurs aucun doute que les requérants, s’ils devaient se retrouver dans la situation inverse ‒ soit celle où des pièces versées au dossier ne leur étaient pas remises ‒ y verraient assurément un motif de prévention de la part de la direction de la procédure justifiant le dépôt d’une demande de récusation.</w:t>
      </w:r>
    </w:p>
    <w:p>
      <w:r>
        <w:rPr>
          <w:b/>
        </w:rPr>
        <w:t>E. 3.5.4</w:t>
      </w:r>
    </w:p>
    <w:p>
      <w:r>
        <w:t>L’on ne saurait davantage voir un indice de partialité dans les conséquences hypothétiques de l’aboutissement d’une éventuelle dénonciation pénale, à savoir ‒ selon les requérants ‒ l’inexploitabilité des actes d’instruction dès le 15 juin 2015 (act. 1, p. 4-5 in BB.2020.232; act. 1, n° 6 in BB.2020.234). L’on voit mal en quoi la partialité de l’intimée serait ainsi établie, dans la mesure où il ne lui appartient pas de déterminer les éventuelles suites d’une dénonciation pénale. Une demande de récusation doit par ailleurs se fonder sur des causes concrètes, non hypothétiques et reposant uniquement sur les spéculations des parties.</w:t>
      </w:r>
    </w:p>
    <w:p>
      <w:r>
        <w:rPr>
          <w:b/>
        </w:rPr>
        <w:t>E. 3.5.5</w:t>
      </w:r>
    </w:p>
    <w:p>
      <w:r>
        <w:t>Au vu de ce qui précède, les requêtes, mal fondées, doivent être rejetées.</w:t>
      </w:r>
    </w:p>
    <w:p>
      <w:r>
        <w:rPr>
          <w:b/>
        </w:rPr>
        <w:t>E. 4</w:t>
      </w:r>
    </w:p>
    <w:p>
      <w:r>
        <w:t>Vu le sort de la cause, il incombe aux requérants de supporter solidairement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3'000.--.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