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BB.2020.220 vom 31. August 2020</w:t>
      </w:r>
    </w:p>
    <w:p>
      <w:r>
        <w:t>Bundesstrafgericht, 2020-08-31, DE</w:t>
      </w:r>
    </w:p>
    <w:p>
      <w:r>
        <w:rPr>
          <w:b/>
        </w:rPr>
        <w:t xml:space="preserve">Quelle: </w:t>
      </w:r>
      <w:r>
        <w:t>https://mcp.opencaselaw.ch/entscheid/bstger_BB.2020.220</w:t>
      </w:r>
    </w:p>
    <w:p>
      <w:r>
        <w:t>FR: TPF BB.2020.220 du 31 août 2020</w:t>
      </w:r>
    </w:p>
    <w:p>
      <w:r>
        <w:t>IT: TPF BB.2020.220 del 31 agosto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31. August 2020 Beschwerdekammer Besetzung</w:t>
      </w:r>
    </w:p>
    <w:p>
      <w:r>
        <w:t>Bundesstrafrichter Roy Garré, Vorsitz, Giorgio Bomio-Giovanascini und Cornelia Cova, Gerichtsschreiberin Chantal Blättler Grivet Fojaja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BB.2020.220</w:t>
      </w:r>
    </w:p>
    <w:p>
      <w:r>
        <w:t>- 2 -</w:t>
      </w:r>
    </w:p>
    <w:p>
      <w:r>
        <w:t>Die Beschwerdekammer hält fest, dass:</w:t>
      </w:r>
    </w:p>
    <w:p>
      <w:r>
        <w:t>- mit Eingabe vom 20. Juli 2020 A. bei der Bundesanwaltschaft Anzeige gegen Unbekannt erstattete, weil er Opfer von organisiertem Verbrechen sei; die Täterschaft ihn 24 Stunden am Tag überwache, manipuliere und sämtliche seine Kontakte instrumentalisiere; in seinem Fall zahlreiche hohe Bundes- beamte und Politiker involviert seien; die organisierte Täterschaft zudem auch im Ausland delinquiert habe (Verfahrensakten, Ordner, Lasche 1);</w:t>
      </w:r>
    </w:p>
    <w:p>
      <w:r>
        <w:t>- die Bundesanwaltschaft mit Datum vom 10. August 2020 die Nichtanhand- nahme der Sache verfügte (Verfahrensakten, Ordner, Lasche 2);</w:t>
      </w:r>
    </w:p>
    <w:p>
      <w:r>
        <w:t>- dagegen A. mit Beschwerde vom 20. August 2020 an die Beschwerdekam- mer des Bundesstrafgerichts gelangte und sinngemäss die Aufhebung der Nichtanhandnahmeverfügung beantragte (act. 1);</w:t>
      </w:r>
    </w:p>
    <w:p>
      <w:r>
        <w:t>- auf die Durchführung eines Schriftenwechsels verzichtet wurde (Art. 390 Abs. 2 StPO).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die Bundesanwaltschaft mit Nichtanhandnahmeverfügung vom 10. Au- gust 2020 mangels hinreichenden Tatverdachts keine Strafuntersuchung er- öffnete;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der Anzeige des Beschwerdeführers offensichtlich kein konkreter Sachver- halt entnommen werden kann, der einen hinreichenden Tatverdacht begrün- den könnte; insbesondere nicht dargelegt wird, wem konkret welches straf- rechtlich relevante Verhalten unter welchen Umständen vorgeworfen wird und Angaben zu Zeit und Ort gänzlich fehlen, wie die Bundesanwaltschaft zu Recht in ihrer Nichtanhandnahmeverfügung festgehalten hat;</w:t>
      </w:r>
    </w:p>
    <w:p>
      <w:r>
        <w:t>- 3 -</w:t>
      </w:r>
    </w:p>
    <w:p>
      <w:r>
        <w:t>- der Beschwerdeführer in seiner Beschwerde auch nicht darlegt, inwiefern die Beschwerdegegnerin zu Unrecht die Nichtanhandnahme der Strafsache ver- fügt haben soll;</w:t>
      </w:r>
    </w:p>
    <w:p>
      <w:r>
        <w:t>- die Beschwerdegegnerin daher zu Recht keine Strafuntersuchung eröffnet hat;</w:t>
      </w:r>
    </w:p>
    <w:p>
      <w:r>
        <w:t>- damit die Beschwerde ohne Weiteres abzuweisen ist;</w:t>
      </w:r>
    </w:p>
    <w:p>
      <w:r>
        <w:t>- bei diesem Ausgang des Verfahrens der Beschwerdeführer die Kosten zu tragen hat (Art. 428 Abs. 1 StPO);</w:t>
      </w:r>
    </w:p>
    <w:p>
      <w:r>
        <w:t>- diese auf das gesetzliche und reglementarische Minimum von Fr. 200.-- fest- zusetzen sind (Art. 73 StBOG und Art. 5 und 8 Abs. 1 BStrKR).</w:t>
      </w:r>
    </w:p>
    <w:p>
      <w:r>
        <w:t>- 4 -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200.-- wird dem Beschwerdeführer auferlegt.</w:t>
      </w:r>
    </w:p>
    <w:p>
      <w:r>
        <w:t>Bellinzona, 1. September 2020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Bundesanwaltschaft; unter Beilage einer Kopie der Beschwerde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