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BB.2020.213 vom 1. September 2020</w:t>
      </w:r>
    </w:p>
    <w:p>
      <w:r>
        <w:t>Bundesstrafgericht, 2020-09-01, DE</w:t>
      </w:r>
    </w:p>
    <w:p>
      <w:r>
        <w:rPr>
          <w:b/>
        </w:rPr>
        <w:t xml:space="preserve">Quelle: </w:t>
      </w:r>
      <w:r>
        <w:t>https://mcp.opencaselaw.ch/entscheid/bstger_BB.2020.213</w:t>
      </w:r>
    </w:p>
    <w:p>
      <w:r>
        <w:t>FR: TPF BB.2020.213 du 1 septembre 2020</w:t>
      </w:r>
    </w:p>
    <w:p>
      <w:r>
        <w:t>IT: TPF BB.2020.213 del 1 settembre 2020</w:t>
      </w:r>
    </w:p>
    <w:p>
      <w:pPr>
        <w:pStyle w:val="Heading2"/>
      </w:pPr>
      <w:r>
        <w:t>Regeste</w:t>
      </w:r>
    </w:p>
    <w:p>
      <w:r>
        <w:t>Stundung und Erlass (Art. 425 StPO).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August 2020 darauf hinzuweisen ist, dass er mit Gesuch vom 6. August 2020 (sinngemäss) mitteilte, dass er bis Ende August [2020] abwesend sei,</w:t>
      </w:r>
    </w:p>
    <w:p>
      <w:r>
        <w:t>- 4 -</w:t>
      </w:r>
    </w:p>
    <w:p>
      <w:r>
        <w:t>damit auf eine Zustellung durch eingeschriebene Postsendung in dieser Zeit verzichtet werde;</w:t>
      </w:r>
    </w:p>
    <w:p>
      <w:r>
        <w:t>- gemäss Art. 85 StPO die Strafbehörden sich für ihre Mitteilungen grundsätz- lich der Schriftform bedienen (Abs. 1) und die Zustellung durch eingeschrie- bene Postsendung oder auf andere Weise gegen Empfangsbestätigung, ins- besondere durch die Polizei, erfolgt (Abs. 2);</w:t>
      </w:r>
    </w:p>
    <w:p>
      <w:r>
        <w:t>- die Zustellung der vorliegenden Verfügung durch eingeschriebene Postsen- dung erfolgt, unter Berücksichtigung der Abwesenheitsanzeige des Gesuch- stellers;</w:t>
      </w:r>
    </w:p>
    <w:p>
      <w:r>
        <w:t>- 5 -</w:t>
      </w:r>
    </w:p>
    <w:p>
      <w:r>
        <w:t>und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