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BB.2020.208 vom 15. Juli 2020</w:t>
      </w:r>
    </w:p>
    <w:p>
      <w:r>
        <w:t>Bundesstrafgericht, 2020-07-15, DE</w:t>
      </w:r>
    </w:p>
    <w:p>
      <w:r>
        <w:rPr>
          <w:b/>
        </w:rPr>
        <w:t xml:space="preserve">Quelle: </w:t>
      </w:r>
      <w:r>
        <w:t>https://mcp.opencaselaw.ch/entscheid/bstger_BB.2020.208</w:t>
      </w:r>
    </w:p>
    <w:p>
      <w:r>
        <w:t>FR: TPF BB.2020.208 du 15 juillet 2020</w:t>
      </w:r>
    </w:p>
    <w:p>
      <w:r>
        <w:t>IT: TPF BB.2020.208 del 15 luglio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15. Juli 2020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BB.2020.208</w:t>
      </w:r>
    </w:p>
    <w:p>
      <w:r>
        <w:t>- 2 -</w:t>
      </w:r>
    </w:p>
    <w:p>
      <w:r>
        <w:t>Die Beschwerdekammer hält fest, dass:</w:t>
      </w:r>
    </w:p>
    <w:p>
      <w:r>
        <w:t>- A. am 15. Juni 2020 bei der Bundesanwaltschaft Anzeige einreichte gegen das Bundesgericht wegen angeblichem «Verstoss gg mein gesetzliches Recht der unentgeltlichen Prozessführung, Verstösse gg den Gleichheits- grundsatz, Verstösse gg das Gesetz und Verstösse gg die BV, Art. 7, Art. 8 insbesondere Art. 9» (vgl. die Akten der Bundesanwaltschaft, Rubrik 1);</w:t>
      </w:r>
    </w:p>
    <w:p>
      <w:r>
        <w:t>- die Bundesanwaltschaft am 24. Juni 2020 verfügte, die Strafanzeige werde nicht anhand genommen (act. 1.1);</w:t>
      </w:r>
    </w:p>
    <w:p>
      <w:r>
        <w:t>- A. gegen diese Verfügung mit Eingabe vom 30. Juni 2020 (Postaufgabe 1. Juli 2020) bei der Beschwerdekammer Beschwerde erhob (act. 1);</w:t>
      </w:r>
    </w:p>
    <w:p>
      <w:r>
        <w:t>- die Bundesanwaltschaft der Beschwerdekammer auf entsprechende Auffor- derung hin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der Beschwerdeführer in seiner Beschwerde geltend macht, der Stv. Bun- desanwalt B., welcher die angefochtene Nichtanhandnahmeverfügung un- terzeichnet hat, werde wegen Befangenheit, Voreingenommenheit und ins- besondere der persönlichen Feindschaft ihm gegenüber abgelehnt;</w:t>
      </w:r>
    </w:p>
    <w:p>
      <w:r>
        <w:t>- 3 -</w:t>
      </w:r>
    </w:p>
    <w:p>
      <w:r>
        <w:t>- der Beschwerdeführer in seinem sinngemäss gestellten Ausstandsgesuch entgegen Art. 58 Abs. 1 StPO in keiner Art und Weise den Ausstand begrün- dende Tatsachen glaubhaft macht;</w:t>
      </w:r>
    </w:p>
    <w:p>
      <w:r>
        <w:t>- auf das Gesuch demnach nicht einzutreten ist, weshalb auch auf die Einho- lung einer Stellungnahme des Betroffenen im Sinne von Art. 58 Abs. 2 StPO verzichtet wird;</w:t>
      </w:r>
    </w:p>
    <w:p>
      <w:r>
        <w:t>- offenbar die im Verfahren 4F_3/2020 ergangene Verfügung des Bundesge- richts vom 10. Juni 2020 betreffend Kostenvorschuss Gegenstand und Aus- löser der Strafanzeige bildet;</w:t>
      </w:r>
    </w:p>
    <w:p>
      <w:r>
        <w:t>- der Beschwerdeführer weder in seiner Strafanzeige noch in seiner Be- schwerde aufzeigt, inwiefern mit Erlass dieser Verfügung irgendein Straftat- bestand erfüllt sein soll;</w:t>
      </w:r>
    </w:p>
    <w:p>
      <w:r>
        <w:t>- die vom Beschwerdeführer erhobenen Vorwürfe keine Straftatbestände be- treffen (so z.B. Verstösse gegen verschiedene Verfahrensbestimmungen);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>
      <w:r>
        <w:t>1. Auf das Ausstandsgesuch gegen Stv. Bundesanwalt B. wird nicht eingetreten.</w:t>
      </w:r>
    </w:p>
    <w:p>
      <w:r>
        <w:t>2. Die Beschwerde wird abgewiesen, soweit darauf eingetreten wird.</w:t>
      </w:r>
    </w:p>
    <w:p>
      <w:r>
        <w:t>3. Die Gerichtsgebühr von Fr. 200.– wird dem Beschwerdeführer auferlegt.</w:t>
      </w:r>
    </w:p>
    <w:p>
      <w:r>
        <w:t>Bellinzona, 16. Juli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