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BB.2020.205 vom 9. Juli 2020</w:t>
      </w:r>
    </w:p>
    <w:p>
      <w:r>
        <w:t>Bundesstrafgericht, 2020-07-09, FR</w:t>
      </w:r>
    </w:p>
    <w:p>
      <w:r>
        <w:rPr>
          <w:b/>
        </w:rPr>
        <w:t xml:space="preserve">Quelle: </w:t>
      </w:r>
      <w:r>
        <w:t>https://mcp.opencaselaw.ch/entscheid/bstger_BB.2020.205</w:t>
      </w:r>
    </w:p>
    <w:p>
      <w:r>
        <w:t>FR: TPF BB.2020.205 du 9 juillet 2020</w:t>
      </w:r>
    </w:p>
    <w:p>
      <w:r>
        <w:t>IT: TPF BB.2020.205 del 9 luglio 2020</w:t>
      </w:r>
    </w:p>
    <w:p>
      <w:pPr>
        <w:pStyle w:val="Heading2"/>
      </w:pPr>
      <w:r>
        <w:t>Regeste</w:t>
      </w:r>
    </w:p>
    <w:p>
      <w:r>
        <w:t>Actes de procédure de la Cour des affaires pénales (art. 20 al. 1 let. a en lien avec l'art. 393 al. 1 let. b CPP). Défense d'office dans la procédure de recours (art. 132 al. 1 let. b CPP).</w:t>
      </w:r>
    </w:p>
    <w:p>
      <w:pPr>
        <w:pStyle w:val="Heading2"/>
      </w:pPr>
      <w:r>
        <w:t>Erwägungen</w:t>
      </w:r>
    </w:p>
    <w:p>
      <w:r>
        <w:rPr>
          <w:b/>
        </w:rPr>
        <w:t>E. 1.1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1.2</w:t>
      </w:r>
    </w:p>
    <w:p>
      <w:r>
        <w:t>Aux termes des art. 393 al. 1 let. b CPP ainsi que 37 al. 1 de la loi sur l’organisation des autorités pénales de la Confédération (LOAP; RS 173.71), la voie de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1.3</w:t>
      </w:r>
    </w:p>
    <w:p>
      <w:r>
        <w:t>L’ordonnance querellée a été rendue par la direction de la procédure d’une autorité collégiale au sens de l’art. 61 let. c CPP. De jurisprudence constante (ATF 143 IV 175 consid. 2.2; décisions du Tribunal pénal fédéral BB.2019.75+79 du 23 janvier 2020; BB.2019.213-215 du 17 décembre 2019 consid. 2.2), le recours n’est recevable que si le prononcé querellé cause au recourant un préjudice irréparable; le recourant doit se retrouver exposé à un dommage de nature juridique, qui ne puisse pas être réparé ultérieurement par un jugement final ou une autre décision qui lui serait favorable (ATF 137 IV 172 consid. 2.1; 136 IV 92 consid. 4; 133 IV 335 consid. 4). Il incombe au recourant de démontrer l’existence d’un tel préjudice lorsque celui-ci n’est pas d’emblée évident (ATF 138 III 46 consid. 1.2; 136 IV 92 consid. 4).</w:t>
      </w:r>
    </w:p>
    <w:p>
      <w:r>
        <w:rPr>
          <w:b/>
        </w:rPr>
        <w:t>E. 1.4</w:t>
      </w:r>
    </w:p>
    <w:p>
      <w:r>
        <w:t>En l’occurrence, le recourant ne développe aucune argumentation sur cette question, puisqu’il a présumé la recevabilité de son recours et a fondé son argumentation sur les art. 29 al. 1 et 2 Cst. et 182 CPP. Il expose que la décision contestée est inopportune dans la mesure où le fait de désigner deux traducteurs est susceptible de provoquer des problèmes de traduction, des risques de confusion et d’interprétations potentiellement contradictoires (act. 1, p. 4).</w:t>
      </w:r>
    </w:p>
    <w:p>
      <w:r>
        <w:rPr>
          <w:b/>
        </w:rPr>
        <w:t>E. 1.5</w:t>
      </w:r>
    </w:p>
    <w:p>
      <w:r>
        <w:t>Un préjudice irréparable n’est pas non plus d’emblée évident en l’espèce, bien au contraire. En effet, dans la mesure où le recourant conteste le fait que deux traducteurs aient été nommés pour la traduction de l’acte d’accusation, et que dite traduction a déjà été effectuée par ceux-ci, sa</w:t>
      </w:r>
    </w:p>
    <w:p>
      <w:r>
        <w:t>- 5 -</w:t>
      </w:r>
    </w:p>
    <w:p>
      <w:r>
        <w:t>requête est d’une part tardive ‒ de sorte que le recourant ne dispose pas d’un intérêt actuel ‒, et d’autre part inadéquate pour éventuellement contester la qualité de la traduction. A cet égard, par courrier du 9 avril 2020 accompagné de la traduction de l’acte d’accusation, la CAP-TPF a imparti un délai au 31 mai 2020 aux parties pour présenter d’éventuelles offres de preuves complémentaires. Il était ainsi loisible au recourant de requérir des précisions si certains passages lui paraissaient confus, ou par exemple de requérir une contre-expertise si la validité de celle-ci lui paraissait douteuse. L’on précise en outre que le recourant n’a pas recouru contre le mandat de traduction du 30 janvier 2020. L’on ne saurait davantage faire grief à la CAP- TPF de ne pas avoir donné suite au courriel du recourant du 21 janvier 2020, dans la mesure où celui-ci avait été rendu attentif à plusieurs reprises qu’il ne serait donné suite à ses requêtes adressées directement à la Cour et qu’il devait impérativement les adresser par le biais de son avocat. Ainsi, le fait de refuser au recourant de confier un mandat à un seul traducteur au lieu de deux, pour un document ayant déjà fait l’objet de la traduction requise, ne saurait lui causer un préjudice irréparable. A cet égard, le Tribunal fédéral a estimé que la décision confirmant le refus d’ordonner une nouvelle traduction d’écoutes téléphoniques est assimilable aux décisions concernant la conduite de la procédure et l’administration des preuves. Or, la jurisprudence dénie, dans de tels cas, l’existence d’un dommage irréparable (ATF 134 III 188 consid. 2.3 p. 191; 117 Ia 251 consid. 1a p. 253; arrêt du Tribunal fédéral 1B_441/2011 du 20 septembre 2011 consid. 2).</w:t>
      </w:r>
    </w:p>
    <w:p>
      <w:r>
        <w:rPr>
          <w:b/>
        </w:rPr>
        <w:t>E. 1.6</w:t>
      </w:r>
    </w:p>
    <w:p>
      <w:r>
        <w:t>Par conséquent, faute pour le recourant d’avoir démontré que la décision attaquée lui cause un préjudice irréparable, le recours est irrecevable.</w:t>
      </w:r>
    </w:p>
    <w:p>
      <w:r>
        <w:rPr>
          <w:b/>
        </w:rPr>
        <w:t>E. 2</w:t>
      </w:r>
    </w:p>
    <w:p>
      <w:r>
        <w:t>Le recourant demande à être mis au bénéfice de l’assistance judiciaire et à ce que Me Tirelli soit désigné en qualité de défenseur d’office (dossier BP.2020.63 p. 6).</w:t>
      </w:r>
    </w:p>
    <w:p>
      <w:r>
        <w:rPr>
          <w:b/>
        </w:rPr>
        <w:t>E. 2.1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BB.2014.83+86 du 12 février 2015 consid. 7.3 et les références citées).</w:t>
      </w:r>
    </w:p>
    <w:p>
      <w:r>
        <w:rPr>
          <w:b/>
        </w:rPr>
        <w:t>E. 2.2</w:t>
      </w:r>
    </w:p>
    <w:p>
      <w:r>
        <w:t>En l’espèce, vu les principes juridiques clairs et la jurisprudence constante applicables au cas d’espèce, le recours était dépourvu de chances de succès de sorte que la demande d’assistance judiciaire doit être rejetée. Les conditions de l’art. 132 al. 1 let. b CPP (par renvoi de l’art. 379 CPP) n’étant</w:t>
      </w:r>
    </w:p>
    <w:p>
      <w:r>
        <w:t>- 6 -</w:t>
      </w:r>
    </w:p>
    <w:p>
      <w:r>
        <w:t>dès lors pas remplies, sa requête de défense gratuite est, elle aussi, rejetée (décision du Tribunal pénal fédéral BH.2017.7 du 10 octobre 2017 consid. 4.5).</w:t>
      </w:r>
    </w:p>
    <w:p>
      <w:r>
        <w:rPr>
          <w:b/>
        </w:rPr>
        <w:t>E. 3</w:t>
      </w:r>
    </w:p>
    <w:p>
      <w:r>
        <w:t>Au vu de ce qui précède, les frais de la présente procédure sont mis à la charge du recourant conformément à l’art. 428 CPP. En application des art. 73 al. 2 LOAP, ainsi que des art. 5 et 8 al. 1 du règlement du Tribunal pénal fédéral sur les frais, émoluments, dépens et indemnités de la procédure pénale fédérale (RFPPF; RS 173.713.162), ils seront fixés à CHF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