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BB.2020.197 vom 2. Juli 2020</w:t>
      </w:r>
    </w:p>
    <w:p>
      <w:r>
        <w:t>Bundesstrafgericht, 2020-07-02, DE</w:t>
      </w:r>
    </w:p>
    <w:p>
      <w:r>
        <w:rPr>
          <w:b/>
        </w:rPr>
        <w:t xml:space="preserve">Quelle: </w:t>
      </w:r>
      <w:r>
        <w:t>https://mcp.opencaselaw.ch/entscheid/bstger_BB.2020.197</w:t>
      </w:r>
    </w:p>
    <w:p>
      <w:r>
        <w:t>FR: TPF BB.2020.197 du 2 juillet 2020</w:t>
      </w:r>
    </w:p>
    <w:p>
      <w:r>
        <w:t>IT: TPF BB.2020.197 del 2 luglio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2. Juli 2020 Beschwerdekammer Besetzung</w:t>
      </w:r>
    </w:p>
    <w:p>
      <w:r>
        <w:t>Bundesstrafrichter Roy Garré, Vorsitz, Patrick Robert-Nicoud und Stephan Blättler,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BB.2020.197</w:t>
      </w:r>
    </w:p>
    <w:p>
      <w:r>
        <w:t>- 2 -</w:t>
      </w:r>
    </w:p>
    <w:p>
      <w:r>
        <w:t>Die Beschwerdekammer hält fest, dass:</w:t>
      </w:r>
    </w:p>
    <w:p>
      <w:r>
        <w:t>- A. am 20. Mai 2020 beim Bundesstrafgericht gegen den Bundesrichter B. einen Strafantrag einreichte wegen angeblichem Amtsmissbrauch, Rechts- missbrauch etc., welcher zuständigkeitshalber an die Bundesanwaltschaft weitergeleitet wurde (vgl. hierzu die Akten der Bundesanwaltschaft, Ru- brik 1);</w:t>
      </w:r>
    </w:p>
    <w:p>
      <w:r>
        <w:t>- die Bundesanwaltschaft am 3. Juni 2020 verfügte, die Strafanzeige werde nicht anhand genommen (act. 1.1);</w:t>
      </w:r>
    </w:p>
    <w:p>
      <w:r>
        <w:t>- A. dagegen mit Eingabe vom 5. Juni 2020 (Postaufgabe 7. Juni 2020) bei der Beschwerdekammer Beschwerde erhob (act. 1);</w:t>
      </w:r>
    </w:p>
    <w:p>
      <w:r>
        <w:t>- die Bundesanwaltschaft der Beschwerdekammer auf entsprechende Auffor- derung hin die Verfahrensakten übermittelte (act. 2 und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zur Beschwerde die Parteien legitimiert sind, sofern sie ein rechtlich ge- schütztes Interesse an der Aufhebung oder Änderung des angefochtenen Entscheides haben (Art. 310 Abs. 2 i.V.m. Art. 322 Abs. 2 und Art. 382 Abs. 1 StPO);</w:t>
      </w:r>
    </w:p>
    <w:p>
      <w:r>
        <w:t>- die geschädigte Person somit grundsätzlich nur insoweit zur Beschwerde le- gitimiert ist, als sie sich im Sinne der Art. 118 f. StPO als Privatklägerschaft konstituiert hat bzw. als sie – was gerade bei der Nichtanhandnahmeverfü- gung der Fall sein kann – noch keine Gelegenheit hatte, sich als Privatklä- gerschaft zu konstituieren (vgl. hierzu u. a. den Beschluss des Bundesstraf- gerichts BB.2018.171 vom 15. Januar 2019 E. 1.2 mit Hinweis);</w:t>
      </w:r>
    </w:p>
    <w:p>
      <w:r>
        <w:t>- offenbar das Urteil des Bundesgerichts 6B_334/2020 vom 15. Mai 2020, mit welchem dieses nicht auf eine vom Beschwerdeführer eingereichte Be- schwerde eintrat, Gegenstand und Auslöser der Strafanzeige bildet;</w:t>
      </w:r>
    </w:p>
    <w:p>
      <w:r>
        <w:t>- 3 -</w:t>
      </w:r>
    </w:p>
    <w:p>
      <w:r>
        <w:t>- der Beschwerdeführer diesbezüglich in seiner Strafanzeige sinngemäss den Vorwurf des Amtsmissbrauchs erhebt;</w:t>
      </w:r>
    </w:p>
    <w:p>
      <w:r>
        <w:t>- nach der Rechtsprechung zu Art. 312 StGB nur derjenige die Amtsgewalt missbraucht, welcher die Machtbefugnisse, die ihm sein Amt verleiht, un- rechtmässig anwendet, d.h. kraft seines Amtes verfügt oder Zwang ausübt, wo es nicht geschehen dürfte (BGE 127 IV 209 E. 1a und 1b S. 211 ff.; Urteil des Bundesgerichts 1C_563/2018 vom 20. August 2019 E. 3.3);</w:t>
      </w:r>
    </w:p>
    <w:p>
      <w:r>
        <w:t>- der Beschwerdeführer in Strafanzeige und Beschwerde ausführt, weshalb er mit dem erwähnten Urteil des Bundesgerichts nicht einverstanden ist, er da- bei aber nicht aufzeigt, inwiefern der Straftatbestand des Amtsmissbrauchs erfüllt sein soll;</w:t>
      </w:r>
    </w:p>
    <w:p>
      <w:r>
        <w:t>- auch betreffend die anderen genannten Vorwürfe den Ausführungen des Be- schwerdeführers nicht entnommen werden kann, inwiefern die Straftatbe- stände des (Prozess-)Betrugs (Art. 146 StGB) oder der Irreführung der Rechtspflege (Art. 304 StGB) erfüllt sein sollen;</w:t>
      </w:r>
    </w:p>
    <w:p>
      <w:r>
        <w:t>- ein Teil der vom Beschwerdeführer erhobenen Vorwürfe zudem keine Straf- tatbestände betreffen (so z.B. Verstösse gegen verschiedene Verfahrensbe- stimmungen);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 Grund- 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weiteren Schriftenwechsel abzuweisen ist, sofern darauf überhaupt einzutreten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die Gerichtsgebühr festzusetzen ist auf Fr. 200.– (vgl. Art. 73 StBOG und Art. 5 und 8 Abs. 1 des Reglements des Bundesstrafgerichts vom 31. August 2010 über die Kosten, Gebühren und Entschädigungen in Bundesstrafver- fahren [BStKR; SR 173.713.162]);</w:t>
      </w:r>
    </w:p>
    <w:p>
      <w:r>
        <w:t>- 4 -</w:t>
      </w:r>
    </w:p>
    <w:p>
      <w:r>
        <w:t>und erkennt:</w:t>
      </w:r>
    </w:p>
    <w:p>
      <w:r>
        <w:t>1. Die Beschwerde wird abgewiesen, soweit darauf eingetreten wird.</w:t>
      </w:r>
    </w:p>
    <w:p>
      <w:r>
        <w:t>2. Die Gerichtsgebühr von Fr. 200.– wird dem Beschwerdeführer auferlegt.</w:t>
      </w:r>
    </w:p>
    <w:p>
      <w:r>
        <w:t>Bellinzona, 2. Juli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 (unter Beilage einer Kopie der Beschwerde) - B.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