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BB.2020.19 vom 15. April 2020</w:t>
      </w:r>
    </w:p>
    <w:p>
      <w:r>
        <w:t>Bundesstrafgericht, 2020-04-15, DE</w:t>
      </w:r>
    </w:p>
    <w:p>
      <w:r>
        <w:rPr>
          <w:b/>
        </w:rPr>
        <w:t xml:space="preserve">Quelle: </w:t>
      </w:r>
      <w:r>
        <w:t>https://mcp.opencaselaw.ch/entscheid/bstger_BB.2020.19</w:t>
      </w:r>
    </w:p>
    <w:p>
      <w:r>
        <w:t>FR: TPF BB.2020.19 du 15 avril 2020</w:t>
      </w:r>
    </w:p>
    <w:p>
      <w:r>
        <w:t>IT: TPF BB.2020.19 del 15 aprile 2020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 Rückzug (Art. 386 Abs. 2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2014, Art. 386 StPO N. 4);</w:t>
      </w:r>
    </w:p>
    <w:p>
      <w:r>
        <w:t>- bei diesem Ausgang des Verfahrens die Beschwerdeführer die Gerichtskos- ten zu tragen haben (vgl. Art. 428 Abs. 1 StPO);</w:t>
      </w:r>
    </w:p>
    <w:p>
      <w:r>
        <w:t>- die Gerichtsgebühr auf Fr. 600.-- festzusetzen ist (vgl. Art. 73 StBOG i.V.m. Art. 5 und Art. 8 Abs. 1 des Reglements des Bundesstrafgerichts vom 31. Au- gust 2010 über die Kosten, Gebühren und Entschädigungen in Bundesstraf- 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