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BB.2020.168 vom 19. Juni 2020</w:t>
      </w:r>
    </w:p>
    <w:p>
      <w:r>
        <w:t>Bundesstrafgericht, 2020-06-19, DE</w:t>
      </w:r>
    </w:p>
    <w:p>
      <w:r>
        <w:rPr>
          <w:b/>
        </w:rPr>
        <w:t xml:space="preserve">Quelle: </w:t>
      </w:r>
      <w:r>
        <w:t>https://mcp.opencaselaw.ch/entscheid/bstger_BB.2020.168</w:t>
      </w:r>
    </w:p>
    <w:p>
      <w:r>
        <w:t>FR: TPF BB.2020.168 du 19 juin 2020</w:t>
      </w:r>
    </w:p>
    <w:p>
      <w:r>
        <w:t>IT: TPF BB.2020.168 del 19 giugno 2020</w:t>
      </w:r>
    </w:p>
    <w:p>
      <w:pPr>
        <w:pStyle w:val="Heading2"/>
      </w:pPr>
      <w:r>
        <w:t>Regeste</w:t>
      </w:r>
    </w:p>
    <w:p>
      <w:r>
        <w:t>Ausstand des erstinstanzlichen Gerichts (Art. 59 Abs. 1 lit. b i.V.m. Art. 56 StPO).</w:t>
      </w:r>
    </w:p>
    <w:p>
      <w:pPr>
        <w:pStyle w:val="Heading2"/>
      </w:pPr>
      <w:r>
        <w:t>Erwägungen</w:t>
      </w:r>
    </w:p>
    <w:p>
      <w:r>
        <w:rPr>
          <w:b/>
        </w:rPr>
        <w:t>E. 5</w:t>
      </w:r>
    </w:p>
    <w:p>
      <w:r>
        <w:t>April 2018 E. 3.6);</w:t>
      </w:r>
    </w:p>
    <w:p>
      <w:r>
        <w:t>- von den beteiligten Richtern grundsätzlich erwartet wird, dass sie die Sache mit der nötigen Professionalität und Unvoreingenommenheit nochmals be- handeln (Urteil des Bundesgerichts 1P.591/2005 E. 2);</w:t>
      </w:r>
    </w:p>
    <w:p>
      <w:r>
        <w:t>- es anders liegt, wenn sich der zuständige Richter bei der erneuten Befas- sung nach einer Rückweisung selber für befangen erklärt oder wenn die Richter der Berufungsinstanz im vom Bundesgericht aufgehobenen Urteil antizipierter Beweiswürdigung zum Ergebnis gelangt sind, die Aussagen eines Zeugen, wie auch immer sie lauten mögen, vermöchten den Angeklag- ten nicht zu entlasten, sodass sie den Eindruck erwecken, sie seien nicht in der Lage, die vom Bundesgericht angeordnete ergänzende Zeugeneinver- nahme unvoreingenommen zu würdigen (BOOG, a.a.O., N. 29 zu Art. 56 StPO mit Hinweisen auf die bundesgerichtliche Rechtsprechung);</w:t>
      </w:r>
    </w:p>
    <w:p>
      <w:r>
        <w:t>- derartige ausserordentliche Umstände vorliegend nicht ersichtlich sind;</w:t>
      </w:r>
    </w:p>
    <w:p>
      <w:r>
        <w:t>- 5 -</w:t>
      </w:r>
    </w:p>
    <w:p>
      <w:r>
        <w:t>- vor dem Hintergrund, dass im Verfahren SK.2017.49 eine differenzierte Be- urteilung der Anklage betreffend den Gesuchsteller vorgenommen wurde, keine Anhaltspunkte für die Annahme bestehen, die betreffenden Bun- desstrafrichter würden sich im Rückweisungsverfahren nun nicht mehr ein- gehend mit der Anklage betreffend den Gesuchsteller und den darin erhobe- nen Vorwürfen auseinandersetzen;</w:t>
      </w:r>
    </w:p>
    <w:p>
      <w:r>
        <w:t>- bei diesem Ausgang des Verfahrens die Gerichtskosten dem Gesuchsteller aufzuerlegen sind (Art. 428 Abs. 1 StPO);</w:t>
      </w:r>
    </w:p>
    <w:p>
      <w:r>
        <w:t>- die Gerichtsgebühr auf Fr. 500.-- festzusetzen ist (Art. 73 StBOG sowie Art. 5 und Art.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