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BB.2020.125 vom 12. August 2020</w:t>
      </w:r>
    </w:p>
    <w:p>
      <w:r>
        <w:t>Bundesstrafgericht, 2020-08-12, DE</w:t>
      </w:r>
    </w:p>
    <w:p>
      <w:r>
        <w:rPr>
          <w:b/>
        </w:rPr>
        <w:t xml:space="preserve">Quelle: </w:t>
      </w:r>
      <w:r>
        <w:t>https://mcp.opencaselaw.ch/entscheid/bstger_BB.2020.125</w:t>
      </w:r>
    </w:p>
    <w:p>
      <w:r>
        <w:t>FR: TPF BB.2020.125 du 12 août 2020</w:t>
      </w:r>
    </w:p>
    <w:p>
      <w:r>
        <w:t>IT: TPF BB.2020.125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BB.2020.125</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25.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6);</w:t>
      </w:r>
    </w:p>
    <w:p>
      <w:r>
        <w:t>- ein Kostenvorschuss im Umfang von Fr. 295.96 dem Konto der Bundesstraf- gerichtskasse am 3. Juli 2020 und damit nach Ablauf der Frist gutgeschrie- ben wurde (act. 5);</w:t>
      </w:r>
    </w:p>
    <w:p>
      <w:r>
        <w:t>- dem Beschwerdeführer die Möglichkeit eingeräumt wurde, die Rechtzeitig- keit der geleisteten Zahlung nachzuweisen (act. 7);</w:t>
      </w:r>
    </w:p>
    <w:p>
      <w:r>
        <w:t>- der Vertreter des Beschwerdeführers mit Fax-Eingabe vom 13. Juli 2020 eine «Kopie der fristgerecht eingereichten Überweisung über CHF 300,00 vom 2.7.2020» übermittelte (act. 8).</w:t>
      </w:r>
    </w:p>
    <w:p>
      <w:r>
        <w:t>Die Beschwerdekammer zieht in Erwägung, dass:</w:t>
      </w:r>
    </w:p>
    <w:p>
      <w:r>
        <w:t>- gegen eine Einstellungsverfügung der Bundesanwaltschaft die Beschwerde an die Beschwerdekammer des Bundesstrafgerichts zulässig ist (Art. 322 Abs. 2 StPO i.V.m. Art. 37 Abs. 1 StBOG);</w:t>
      </w:r>
    </w:p>
    <w:p>
      <w:r>
        <w:t>- 3 -</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der Beschwerdeführer gemäss angefochtener Einstellungsverfügung am Strafverfahren als Privatklägerschaft teilnahm;</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vorliegend der Kostenvorschuss nicht innert der angesetzten Frist dem Konto des Bundesstrafgerichts gutgeschrieben worden ist;</w:t>
      </w:r>
    </w:p>
    <w:p>
      <w:r>
        <w:t>- der vom Beschwerdeführer per Fax übermittelte Beleg (act. 8.1) – unabhän- gig von der mangelhaften Form der Eingabe – nicht nachweist, dass der Kostenvorschuss fristgerecht einem Post- oder Bankkonto in der Schweiz belastet worden ist;</w:t>
      </w:r>
    </w:p>
    <w:p>
      <w:r>
        <w:t>- der Kostenvorschuss daher nicht fristgerecht geleistet worden ist, weshalb auf die Beschwerde androhungsgemäss nicht einzutreten ist;</w:t>
      </w:r>
    </w:p>
    <w:p>
      <w:r>
        <w:t>- bei diesem Ausgang des Verfahrens die Gerichtskosten dem Beschwerde- führer aufzuerlegen sind (vgl. Art. 428 Abs. 1 StPO);</w:t>
      </w:r>
    </w:p>
    <w:p>
      <w:r>
        <w:t>- die Gerichtsgebühr auf das reglementarische Minimum von Fr. 200.– festzu- setzen ist (vgl. Art. 73 StBOG i.V.m. Art. 5 und 8 Abs. 1 BStKR), unter An- rechnung des entsprechenden Betrags am geleisteten Kostenvorschuss von Fr. 295.96; die Bundesstrafgerichtskasse anzuweisen ist, dem Beschwerde- führer den Restbetrag von Fr. 95.96 zurückzuerstatten;</w:t>
      </w:r>
    </w:p>
    <w:p>
      <w:r>
        <w:t>- 4 -</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- 5 -</w:t>
      </w:r>
    </w:p>
    <w:p>
      <w:r>
        <w:t>und erkennt:</w:t>
      </w:r>
    </w:p>
    <w:p>
      <w:r>
        <w:t>1. Auf die Beschwerde wird nicht eingetreten.</w:t>
      </w:r>
    </w:p>
    <w:p>
      <w:r>
        <w:t>2. Die Gerichtsgebühr von Fr. 200.– wird dem Beschwerdeführer auferlegt, unter Anrechnung des entsprechenden Betrags am geleisteten Kostenvorschuss von Fr. 295.96. Die Bundesstrafgerichtskasse wird angewiesen, dem Be- schwerdeführer den Restbetrag von Fr. 95.96 zurückzuerstatten.</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