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BB.2020.103 vom 12. August 2020</w:t>
      </w:r>
    </w:p>
    <w:p>
      <w:r>
        <w:t>Bundesstrafgericht, 2020-08-12, DE</w:t>
      </w:r>
    </w:p>
    <w:p>
      <w:r>
        <w:rPr>
          <w:b/>
        </w:rPr>
        <w:t xml:space="preserve">Quelle: </w:t>
      </w:r>
      <w:r>
        <w:t>https://mcp.opencaselaw.ch/entscheid/bstger_BB.2020.103</w:t>
      </w:r>
    </w:p>
    <w:p>
      <w:r>
        <w:t>FR: TPF BB.2020.103 du 12 août 2020</w:t>
      </w:r>
    </w:p>
    <w:p>
      <w:r>
        <w:t>IT: TPF BB.2020.103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A., vertreten durch Rechtsanwalt Joachim K. Schweiger,</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BB.2020.103</w:t>
      </w:r>
    </w:p>
    <w:p>
      <w:r>
        <w:t>- 2 -</w:t>
      </w:r>
    </w:p>
    <w:p>
      <w:r>
        <w:t>Die Beschwerdekammer hält fest, dass:</w:t>
      </w:r>
    </w:p>
    <w:p>
      <w:r>
        <w:t>- die Bundesanwaltschaft (nachfolgend «BA») im Strafverfahren gegen B.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C. und D. auferlegt und erlassen sowie im Übrigen die Verfahrenskosten vom Bund übernommen werden (Dispositiv-Ziff. 7; act. 2);</w:t>
      </w:r>
    </w:p>
    <w:p>
      <w:r>
        <w:t>- A., vertreten durch Rechtsanwalt Joachim K. Schweiger, dagegen mit Be- schwerde datiert vom 25. Mai 2020 an die Beschwerdekammer des Bun- desstrafgerichts gelangt (act. 1);</w:t>
      </w:r>
    </w:p>
    <w:p>
      <w:r>
        <w:t>- der Rechtsvertreter von A. mit Schreiben vom 16. Juni 2020 zur Leistung eines Kostenvorschusses von Fr. 300.– bis 2. Juli 2020 aufgefordert wurde (act. 4); er sodann darauf hingewiesen wurde, dass bei Säumnis auf die Be- schwerde nicht eingetreten werde (Art. 383 Abs. 2 StPO);</w:t>
      </w:r>
    </w:p>
    <w:p>
      <w:r>
        <w:t>- der Rechtsvertreter den Empfang des Schreibens vom 16. Juni 2020 am 22. Juni 2020 bestätigte (act. 5);</w:t>
      </w:r>
    </w:p>
    <w:p>
      <w:r>
        <w:t>- innert Frist (und bis dato) weder der Kostenvorschuss geleistet noch ein Ge- such um unentgeltliche Prozessführung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der Beschwerdeführer gemäss angefochtener Einstellungsverfügung am Strafverfahren als Privatklägerschaft teilnahm;</w:t>
      </w:r>
    </w:p>
    <w:p>
      <w:r>
        <w:t>- 3 -</w:t>
      </w:r>
    </w:p>
    <w:p>
      <w:r>
        <w:t>- der Beschwerdeführer entsprechend verpflichtet werden kann,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 Juli 2020 nicht eingegangen ist und der Be- schwerdeführer auch nicht um Gewährung der unentgeltlichen Prozessfüh- rung im Sinne von Art. 136 StPO ersucht hat;</w:t>
      </w:r>
    </w:p>
    <w:p>
      <w:r>
        <w:t>- der Beschwerdeführer damit die ihm zur Leistung des Kostenvorschusses anberaumte Frist unbenutzt verstreichen liess, weshalb auf die Beschwerde androhungsgemäss nicht einzutreten ist;</w:t>
      </w:r>
    </w:p>
    <w:p>
      <w:r>
        <w:t>- unter diesen Umständen nicht geprüft werden muss, ob die weiteren Eintre- tensvoraussetzungen erfüllt sind;</w:t>
      </w:r>
    </w:p>
    <w:p>
      <w:r>
        <w:t>- bei diesem Ausgang des Verfahrens die Gerichtskosten dem Beschwerde- führer aufzuerlegen sind (vgl. Art. 428 Abs. 1 StPO);</w:t>
      </w:r>
    </w:p>
    <w:p>
      <w:r>
        <w:t>- die Gerichtsgebühr auf das reglementarische Minimum von Fr. 200.– festzu- setzen ist (vgl. Art. 73 StBOG i.V.m. Art. 5 und 8 Abs. 1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des Beschwerdeführers übersendet werden kann;</w:t>
      </w:r>
    </w:p>
    <w:p>
      <w:r>
        <w:t>- 4 -</w:t>
      </w:r>
    </w:p>
    <w:p>
      <w:r>
        <w:t>und erkennt:</w:t>
      </w:r>
    </w:p>
    <w:p>
      <w:r>
        <w:t>1. Auf die Beschwerde wird nicht eingetreten.</w:t>
      </w:r>
    </w:p>
    <w:p>
      <w:r>
        <w:t>2. Die Gerichtsgebühr von Fr. 200.– wird dem Beschwerdeführer auferlegt.</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